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60649" w14:textId="77777777" w:rsidR="00BD02DE" w:rsidRDefault="00B95B84">
      <w:pPr>
        <w:pStyle w:val="Title"/>
        <w:spacing w:line="645" w:lineRule="exact"/>
      </w:pPr>
      <w:r>
        <w:rPr>
          <w:color w:val="7E7E7E"/>
        </w:rPr>
        <w:t>APPENDIX B: OPPORTUNITIES ARISING</w:t>
      </w:r>
    </w:p>
    <w:p w14:paraId="5D3C15A7" w14:textId="77777777" w:rsidR="00BD02DE" w:rsidRDefault="00B95B84">
      <w:pPr>
        <w:pStyle w:val="Title"/>
        <w:ind w:right="461"/>
      </w:pPr>
      <w:r>
        <w:rPr>
          <w:color w:val="7E7E7E"/>
        </w:rPr>
        <w:t>FROM NESP INDIGENOUS GATHERING 2018</w:t>
      </w:r>
    </w:p>
    <w:p w14:paraId="6517A0AD" w14:textId="77777777" w:rsidR="00BD02DE" w:rsidRDefault="00462B8B">
      <w:pPr>
        <w:pStyle w:val="BodyText"/>
        <w:spacing w:before="7"/>
        <w:rPr>
          <w:rFonts w:ascii="Calibri"/>
          <w:sz w:val="16"/>
        </w:rPr>
      </w:pPr>
      <w:r>
        <w:pict w14:anchorId="4AB6F0A6">
          <v:rect id="_x0000_s1026" style="position:absolute;margin-left:70.6pt;margin-top:12.1pt;width:454.25pt;height:.95pt;z-index:-251658752;mso-wrap-distance-left:0;mso-wrap-distance-right:0;mso-position-horizontal-relative:page" fillcolor="#92c753" stroked="f">
            <w10:wrap type="topAndBottom" anchorx="page"/>
          </v:rect>
        </w:pict>
      </w:r>
    </w:p>
    <w:p w14:paraId="567BF419" w14:textId="77777777" w:rsidR="00BD02DE" w:rsidRDefault="00BD02DE">
      <w:pPr>
        <w:pStyle w:val="BodyText"/>
        <w:rPr>
          <w:rFonts w:ascii="Calibri"/>
          <w:sz w:val="20"/>
        </w:rPr>
      </w:pPr>
    </w:p>
    <w:p w14:paraId="6C504875" w14:textId="77777777" w:rsidR="00BD02DE" w:rsidRDefault="00BD02DE">
      <w:pPr>
        <w:pStyle w:val="BodyText"/>
        <w:spacing w:before="1"/>
        <w:rPr>
          <w:rFonts w:ascii="Calibri"/>
          <w:sz w:val="22"/>
        </w:rPr>
      </w:pPr>
    </w:p>
    <w:p w14:paraId="5EF8A77D" w14:textId="77777777" w:rsidR="00BD02DE" w:rsidRDefault="00B95B84">
      <w:pPr>
        <w:pStyle w:val="BodyText"/>
        <w:spacing w:before="59"/>
        <w:ind w:left="140" w:right="171"/>
      </w:pPr>
      <w:r>
        <w:t>The following is an extract from the record of the NESP Indigenous Gathering that was held in Canberra on 21-22 February 2018. The information was kindly provided by the CAUL Hub which played a lead role in collaboration with the NAER Hub to make this event happen.</w:t>
      </w:r>
    </w:p>
    <w:p w14:paraId="043E5156" w14:textId="77777777" w:rsidR="00BD02DE" w:rsidRDefault="00BD02DE">
      <w:pPr>
        <w:pStyle w:val="BodyText"/>
        <w:spacing w:before="7"/>
        <w:rPr>
          <w:sz w:val="19"/>
        </w:rPr>
      </w:pPr>
    </w:p>
    <w:p w14:paraId="65C30B6F" w14:textId="77777777" w:rsidR="00BD02DE" w:rsidRPr="00AE22F1" w:rsidRDefault="00B95B84">
      <w:pPr>
        <w:pStyle w:val="Heading1"/>
        <w:numPr>
          <w:ilvl w:val="0"/>
          <w:numId w:val="2"/>
        </w:numPr>
        <w:tabs>
          <w:tab w:val="left" w:pos="395"/>
        </w:tabs>
        <w:spacing w:before="1" w:line="259" w:lineRule="auto"/>
        <w:ind w:right="869" w:firstLine="0"/>
        <w:rPr>
          <w:b/>
          <w:bCs/>
        </w:rPr>
      </w:pPr>
      <w:r w:rsidRPr="00AE22F1">
        <w:rPr>
          <w:b/>
          <w:bCs/>
          <w:color w:val="76B800"/>
        </w:rPr>
        <w:t>The opportunity to promote the positive achievements of NESP in relation to Indigenous</w:t>
      </w:r>
      <w:r w:rsidRPr="00AE22F1">
        <w:rPr>
          <w:b/>
          <w:bCs/>
          <w:color w:val="76B800"/>
          <w:spacing w:val="-2"/>
        </w:rPr>
        <w:t xml:space="preserve"> </w:t>
      </w:r>
      <w:r w:rsidRPr="00AE22F1">
        <w:rPr>
          <w:b/>
          <w:bCs/>
          <w:color w:val="76B800"/>
        </w:rPr>
        <w:t>collaboration.</w:t>
      </w:r>
    </w:p>
    <w:p w14:paraId="069A8E33" w14:textId="77777777" w:rsidR="00BD02DE" w:rsidRDefault="00B95B84">
      <w:pPr>
        <w:pStyle w:val="BodyText"/>
        <w:spacing w:before="118"/>
        <w:ind w:left="140" w:right="228"/>
        <w:jc w:val="both"/>
      </w:pPr>
      <w:proofErr w:type="gramStart"/>
      <w:r>
        <w:t>All of</w:t>
      </w:r>
      <w:proofErr w:type="gramEnd"/>
      <w:r>
        <w:t xml:space="preserve"> the Hubs have stories to tell in relation to positive examples of Indigenous collaboration and there is an opportunity to promote these in a more co-ordinated way. The benefits of this include highlighting the outcomes of the NESP program, but also promoting more broadly the benefits for Indigenous people and non-Indigenous people and for research providers, research users and research funders.</w:t>
      </w:r>
    </w:p>
    <w:p w14:paraId="724DEB14" w14:textId="77777777" w:rsidR="00BD02DE" w:rsidRDefault="00BD02DE">
      <w:pPr>
        <w:pStyle w:val="BodyText"/>
        <w:spacing w:before="10"/>
        <w:rPr>
          <w:sz w:val="9"/>
        </w:r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82"/>
        <w:gridCol w:w="2492"/>
        <w:gridCol w:w="4345"/>
      </w:tblGrid>
      <w:tr w:rsidR="00BD02DE" w14:paraId="111B9F04" w14:textId="77777777">
        <w:trPr>
          <w:trHeight w:val="496"/>
        </w:trPr>
        <w:tc>
          <w:tcPr>
            <w:tcW w:w="2182" w:type="dxa"/>
            <w:shd w:val="clear" w:color="auto" w:fill="E7FFBD"/>
          </w:tcPr>
          <w:p w14:paraId="32405314" w14:textId="77777777" w:rsidR="00BD02DE" w:rsidRPr="00B95B84" w:rsidRDefault="00B95B84">
            <w:pPr>
              <w:pStyle w:val="TableParagraph"/>
              <w:spacing w:before="121"/>
              <w:rPr>
                <w:b/>
                <w:bCs/>
                <w:sz w:val="21"/>
              </w:rPr>
            </w:pPr>
            <w:r w:rsidRPr="00B95B84">
              <w:rPr>
                <w:b/>
                <w:bCs/>
                <w:sz w:val="21"/>
              </w:rPr>
              <w:t>Output</w:t>
            </w:r>
          </w:p>
        </w:tc>
        <w:tc>
          <w:tcPr>
            <w:tcW w:w="2492" w:type="dxa"/>
            <w:shd w:val="clear" w:color="auto" w:fill="E7FFBD"/>
          </w:tcPr>
          <w:p w14:paraId="68C006FF" w14:textId="77777777" w:rsidR="00BD02DE" w:rsidRPr="00B95B84" w:rsidRDefault="00B95B84">
            <w:pPr>
              <w:pStyle w:val="TableParagraph"/>
              <w:spacing w:before="121"/>
              <w:rPr>
                <w:b/>
                <w:bCs/>
                <w:sz w:val="21"/>
              </w:rPr>
            </w:pPr>
            <w:r w:rsidRPr="00B95B84">
              <w:rPr>
                <w:b/>
                <w:bCs/>
                <w:sz w:val="21"/>
              </w:rPr>
              <w:t>Audience</w:t>
            </w:r>
          </w:p>
        </w:tc>
        <w:tc>
          <w:tcPr>
            <w:tcW w:w="4345" w:type="dxa"/>
            <w:shd w:val="clear" w:color="auto" w:fill="E7FFBD"/>
          </w:tcPr>
          <w:p w14:paraId="29D95196" w14:textId="77777777" w:rsidR="00BD02DE" w:rsidRPr="00B95B84" w:rsidRDefault="00B95B84">
            <w:pPr>
              <w:pStyle w:val="TableParagraph"/>
              <w:spacing w:before="121"/>
              <w:rPr>
                <w:b/>
                <w:bCs/>
                <w:sz w:val="21"/>
              </w:rPr>
            </w:pPr>
            <w:r w:rsidRPr="00B95B84">
              <w:rPr>
                <w:b/>
                <w:bCs/>
                <w:sz w:val="21"/>
              </w:rPr>
              <w:t>Activities</w:t>
            </w:r>
          </w:p>
        </w:tc>
      </w:tr>
      <w:tr w:rsidR="00BD02DE" w14:paraId="3427E8F7" w14:textId="77777777">
        <w:trPr>
          <w:trHeight w:val="818"/>
        </w:trPr>
        <w:tc>
          <w:tcPr>
            <w:tcW w:w="2182" w:type="dxa"/>
          </w:tcPr>
          <w:p w14:paraId="6BB026C8" w14:textId="77777777" w:rsidR="00BD02DE" w:rsidRPr="00B95B84" w:rsidRDefault="00B95B84">
            <w:pPr>
              <w:pStyle w:val="TableParagraph"/>
              <w:ind w:right="310"/>
              <w:rPr>
                <w:b/>
                <w:bCs/>
                <w:sz w:val="18"/>
              </w:rPr>
            </w:pPr>
            <w:r w:rsidRPr="00B95B84">
              <w:rPr>
                <w:b/>
                <w:bCs/>
                <w:sz w:val="18"/>
              </w:rPr>
              <w:t>NESP Indigenous stories through an Indigenous lens</w:t>
            </w:r>
          </w:p>
        </w:tc>
        <w:tc>
          <w:tcPr>
            <w:tcW w:w="2492" w:type="dxa"/>
          </w:tcPr>
          <w:p w14:paraId="5FCCA7B0" w14:textId="77777777" w:rsidR="00BD02DE" w:rsidRDefault="00B95B84">
            <w:pPr>
              <w:pStyle w:val="TableParagraph"/>
              <w:ind w:right="360"/>
              <w:rPr>
                <w:sz w:val="18"/>
              </w:rPr>
            </w:pPr>
            <w:r>
              <w:rPr>
                <w:sz w:val="18"/>
              </w:rPr>
              <w:t>Indigenous and non- Indigenous researchers and practitioners</w:t>
            </w:r>
          </w:p>
        </w:tc>
        <w:tc>
          <w:tcPr>
            <w:tcW w:w="4345" w:type="dxa"/>
          </w:tcPr>
          <w:p w14:paraId="4949ED78" w14:textId="77777777" w:rsidR="00BD02DE" w:rsidRDefault="00B95B84">
            <w:pPr>
              <w:pStyle w:val="TableParagraph"/>
              <w:ind w:right="277"/>
              <w:jc w:val="both"/>
              <w:rPr>
                <w:sz w:val="18"/>
              </w:rPr>
            </w:pPr>
            <w:r>
              <w:rPr>
                <w:sz w:val="18"/>
              </w:rPr>
              <w:t>Work with an Indigenous communications company to produce / develop NESP Indigenous stories through an Indigenous lens, and voice.</w:t>
            </w:r>
          </w:p>
        </w:tc>
      </w:tr>
      <w:tr w:rsidR="00BD02DE" w14:paraId="4F5F3662" w14:textId="77777777">
        <w:trPr>
          <w:trHeight w:val="1039"/>
        </w:trPr>
        <w:tc>
          <w:tcPr>
            <w:tcW w:w="2182" w:type="dxa"/>
          </w:tcPr>
          <w:p w14:paraId="7A21136F" w14:textId="77777777" w:rsidR="00BD02DE" w:rsidRPr="00B95B84" w:rsidRDefault="00B95B84">
            <w:pPr>
              <w:pStyle w:val="TableParagraph"/>
              <w:ind w:right="394"/>
              <w:jc w:val="both"/>
              <w:rPr>
                <w:b/>
                <w:bCs/>
                <w:sz w:val="18"/>
              </w:rPr>
            </w:pPr>
            <w:r w:rsidRPr="00B95B84">
              <w:rPr>
                <w:b/>
                <w:bCs/>
                <w:sz w:val="18"/>
              </w:rPr>
              <w:t>Series of articles in The Conversation featuring NESP projects</w:t>
            </w:r>
          </w:p>
        </w:tc>
        <w:tc>
          <w:tcPr>
            <w:tcW w:w="2492" w:type="dxa"/>
          </w:tcPr>
          <w:p w14:paraId="61F38302" w14:textId="77777777" w:rsidR="00BD02DE" w:rsidRDefault="00B95B84">
            <w:pPr>
              <w:pStyle w:val="TableParagraph"/>
              <w:ind w:right="181"/>
              <w:rPr>
                <w:sz w:val="18"/>
              </w:rPr>
            </w:pPr>
            <w:r>
              <w:rPr>
                <w:sz w:val="18"/>
              </w:rPr>
              <w:t xml:space="preserve">The Conversation, the </w:t>
            </w:r>
            <w:proofErr w:type="gramStart"/>
            <w:r>
              <w:rPr>
                <w:sz w:val="18"/>
              </w:rPr>
              <w:t>general public</w:t>
            </w:r>
            <w:proofErr w:type="gramEnd"/>
            <w:r>
              <w:rPr>
                <w:sz w:val="18"/>
              </w:rPr>
              <w:t>, policy makers, etc</w:t>
            </w:r>
          </w:p>
        </w:tc>
        <w:tc>
          <w:tcPr>
            <w:tcW w:w="4345" w:type="dxa"/>
          </w:tcPr>
          <w:p w14:paraId="55F5BCF7" w14:textId="77777777" w:rsidR="00BD02DE" w:rsidRDefault="00B95B84">
            <w:pPr>
              <w:pStyle w:val="TableParagraph"/>
              <w:ind w:right="204"/>
              <w:rPr>
                <w:sz w:val="18"/>
              </w:rPr>
            </w:pPr>
            <w:r>
              <w:rPr>
                <w:sz w:val="18"/>
              </w:rPr>
              <w:t>Hub project teams to prepare articles for The Conversation demonstrating different aspects of Indigenous collaboration; focussing on the benefits and on environmental solutions.</w:t>
            </w:r>
          </w:p>
        </w:tc>
      </w:tr>
      <w:tr w:rsidR="00BD02DE" w14:paraId="4F6ED911" w14:textId="77777777">
        <w:trPr>
          <w:trHeight w:val="2137"/>
        </w:trPr>
        <w:tc>
          <w:tcPr>
            <w:tcW w:w="2182" w:type="dxa"/>
          </w:tcPr>
          <w:p w14:paraId="12B62199" w14:textId="77777777" w:rsidR="00BD02DE" w:rsidRPr="00B95B84" w:rsidRDefault="00B95B84">
            <w:pPr>
              <w:pStyle w:val="TableParagraph"/>
              <w:ind w:right="434"/>
              <w:rPr>
                <w:b/>
                <w:bCs/>
                <w:sz w:val="18"/>
              </w:rPr>
            </w:pPr>
            <w:r w:rsidRPr="00B95B84">
              <w:rPr>
                <w:b/>
                <w:bCs/>
                <w:sz w:val="18"/>
              </w:rPr>
              <w:t>Peer reviewed publication(s) on the benefits of Indigenous collaboration</w:t>
            </w:r>
          </w:p>
        </w:tc>
        <w:tc>
          <w:tcPr>
            <w:tcW w:w="2492" w:type="dxa"/>
          </w:tcPr>
          <w:p w14:paraId="7033B5CF" w14:textId="77777777" w:rsidR="00BD02DE" w:rsidRDefault="00B95B84">
            <w:pPr>
              <w:pStyle w:val="TableParagraph"/>
              <w:spacing w:before="83"/>
              <w:rPr>
                <w:sz w:val="18"/>
              </w:rPr>
            </w:pPr>
            <w:r>
              <w:rPr>
                <w:sz w:val="18"/>
              </w:rPr>
              <w:t>Academic peers</w:t>
            </w:r>
          </w:p>
        </w:tc>
        <w:tc>
          <w:tcPr>
            <w:tcW w:w="4345" w:type="dxa"/>
          </w:tcPr>
          <w:p w14:paraId="0AD2AE21" w14:textId="77777777" w:rsidR="00BD02DE" w:rsidRDefault="00B95B84">
            <w:pPr>
              <w:pStyle w:val="TableParagraph"/>
              <w:rPr>
                <w:sz w:val="18"/>
              </w:rPr>
            </w:pPr>
            <w:r>
              <w:rPr>
                <w:sz w:val="18"/>
              </w:rPr>
              <w:t>Hold a writing retreat (possibly on Rottnest Island?) to capture stories demonstrating the benefits of Indigenous collaboration under NESP. Diversity of approaches across the Hubs and lessons learnt from these practical experiences. Must include a range of voices and perspectives on the range of benefits and lessons learnt. Where possible this should also include the longer-term relationships developed under CERF and NERP as well as NESP. Must also include the non-academic benefits.</w:t>
            </w:r>
          </w:p>
        </w:tc>
      </w:tr>
      <w:tr w:rsidR="00BD02DE" w14:paraId="1267700C" w14:textId="77777777">
        <w:trPr>
          <w:trHeight w:val="820"/>
        </w:trPr>
        <w:tc>
          <w:tcPr>
            <w:tcW w:w="2182" w:type="dxa"/>
          </w:tcPr>
          <w:p w14:paraId="6A8A3A0A" w14:textId="77777777" w:rsidR="00BD02DE" w:rsidRPr="00B95B84" w:rsidRDefault="00B95B84">
            <w:pPr>
              <w:pStyle w:val="TableParagraph"/>
              <w:ind w:right="320"/>
              <w:rPr>
                <w:b/>
                <w:bCs/>
                <w:sz w:val="18"/>
              </w:rPr>
            </w:pPr>
            <w:r w:rsidRPr="00B95B84">
              <w:rPr>
                <w:b/>
                <w:bCs/>
                <w:sz w:val="18"/>
              </w:rPr>
              <w:t>Peer-reviewed publication(s) on Indigenous-led research</w:t>
            </w:r>
          </w:p>
        </w:tc>
        <w:tc>
          <w:tcPr>
            <w:tcW w:w="2492" w:type="dxa"/>
          </w:tcPr>
          <w:p w14:paraId="53E17BCE" w14:textId="77777777" w:rsidR="00BD02DE" w:rsidRDefault="00B95B84">
            <w:pPr>
              <w:pStyle w:val="TableParagraph"/>
              <w:rPr>
                <w:sz w:val="18"/>
              </w:rPr>
            </w:pPr>
            <w:r>
              <w:rPr>
                <w:sz w:val="18"/>
              </w:rPr>
              <w:t>Academic peers</w:t>
            </w:r>
          </w:p>
        </w:tc>
        <w:tc>
          <w:tcPr>
            <w:tcW w:w="4345" w:type="dxa"/>
          </w:tcPr>
          <w:p w14:paraId="0C577670" w14:textId="77777777" w:rsidR="00BD02DE" w:rsidRDefault="00B95B84">
            <w:pPr>
              <w:pStyle w:val="TableParagraph"/>
              <w:rPr>
                <w:sz w:val="18"/>
              </w:rPr>
            </w:pPr>
            <w:r>
              <w:rPr>
                <w:sz w:val="18"/>
              </w:rPr>
              <w:t>Indigenous led research writing workshop.</w:t>
            </w:r>
          </w:p>
        </w:tc>
      </w:tr>
      <w:tr w:rsidR="00BD02DE" w14:paraId="15B178BD" w14:textId="77777777">
        <w:trPr>
          <w:trHeight w:val="1478"/>
        </w:trPr>
        <w:tc>
          <w:tcPr>
            <w:tcW w:w="2182" w:type="dxa"/>
          </w:tcPr>
          <w:p w14:paraId="2542292B" w14:textId="77777777" w:rsidR="00BD02DE" w:rsidRPr="00B95B84" w:rsidRDefault="00B95B84">
            <w:pPr>
              <w:pStyle w:val="TableParagraph"/>
              <w:ind w:right="254"/>
              <w:rPr>
                <w:b/>
                <w:bCs/>
                <w:sz w:val="18"/>
              </w:rPr>
            </w:pPr>
            <w:r w:rsidRPr="00B95B84">
              <w:rPr>
                <w:b/>
                <w:bCs/>
                <w:sz w:val="18"/>
              </w:rPr>
              <w:t>Short brochure highlighting benefits of Indigenous collaboration in NESP</w:t>
            </w:r>
          </w:p>
        </w:tc>
        <w:tc>
          <w:tcPr>
            <w:tcW w:w="2492" w:type="dxa"/>
          </w:tcPr>
          <w:p w14:paraId="763221EC" w14:textId="77777777" w:rsidR="00BD02DE" w:rsidRDefault="00B95B84">
            <w:pPr>
              <w:pStyle w:val="TableParagraph"/>
              <w:ind w:right="106"/>
              <w:rPr>
                <w:sz w:val="18"/>
              </w:rPr>
            </w:pPr>
            <w:r>
              <w:rPr>
                <w:sz w:val="18"/>
              </w:rPr>
              <w:t>Minister to launch at showcase event in Canberra</w:t>
            </w:r>
          </w:p>
        </w:tc>
        <w:tc>
          <w:tcPr>
            <w:tcW w:w="4345" w:type="dxa"/>
          </w:tcPr>
          <w:p w14:paraId="7C4C49A0" w14:textId="77777777" w:rsidR="00BD02DE" w:rsidRDefault="00B95B84">
            <w:pPr>
              <w:pStyle w:val="TableParagraph"/>
              <w:ind w:right="182"/>
              <w:rPr>
                <w:sz w:val="18"/>
              </w:rPr>
            </w:pPr>
            <w:r>
              <w:rPr>
                <w:sz w:val="18"/>
              </w:rPr>
              <w:t>One of a series of cross-Hub short brochures produced to highlight the benefits of the NESP program (others include Climate Change and Transdisciplinary research). Could draws from the stories developed for The Conversation and from the publications described above.</w:t>
            </w:r>
          </w:p>
        </w:tc>
      </w:tr>
      <w:tr w:rsidR="00BD02DE" w14:paraId="70FA5601" w14:textId="77777777">
        <w:trPr>
          <w:trHeight w:val="1060"/>
        </w:trPr>
        <w:tc>
          <w:tcPr>
            <w:tcW w:w="2182" w:type="dxa"/>
          </w:tcPr>
          <w:p w14:paraId="547196A4" w14:textId="77777777" w:rsidR="00BD02DE" w:rsidRPr="00B95B84" w:rsidRDefault="00B95B84">
            <w:pPr>
              <w:pStyle w:val="TableParagraph"/>
              <w:ind w:right="90"/>
              <w:rPr>
                <w:b/>
                <w:bCs/>
                <w:sz w:val="18"/>
              </w:rPr>
            </w:pPr>
            <w:r w:rsidRPr="00B95B84">
              <w:rPr>
                <w:b/>
                <w:bCs/>
                <w:sz w:val="18"/>
              </w:rPr>
              <w:t>NESP Indigenous showcase in Canberra</w:t>
            </w:r>
          </w:p>
        </w:tc>
        <w:tc>
          <w:tcPr>
            <w:tcW w:w="2492" w:type="dxa"/>
          </w:tcPr>
          <w:p w14:paraId="24AD0352" w14:textId="77777777" w:rsidR="00BD02DE" w:rsidRDefault="00B95B84">
            <w:pPr>
              <w:pStyle w:val="TableParagraph"/>
              <w:rPr>
                <w:sz w:val="18"/>
              </w:rPr>
            </w:pPr>
            <w:r>
              <w:rPr>
                <w:sz w:val="18"/>
              </w:rPr>
              <w:t>Minister and DoEE executive</w:t>
            </w:r>
          </w:p>
        </w:tc>
        <w:tc>
          <w:tcPr>
            <w:tcW w:w="4345" w:type="dxa"/>
          </w:tcPr>
          <w:p w14:paraId="1C65304A" w14:textId="77777777" w:rsidR="00BD02DE" w:rsidRDefault="00B95B84">
            <w:pPr>
              <w:pStyle w:val="TableParagraph"/>
              <w:ind w:right="155"/>
              <w:jc w:val="both"/>
              <w:rPr>
                <w:sz w:val="18"/>
              </w:rPr>
            </w:pPr>
            <w:proofErr w:type="gramStart"/>
            <w:r>
              <w:rPr>
                <w:sz w:val="18"/>
              </w:rPr>
              <w:t>Similar to</w:t>
            </w:r>
            <w:proofErr w:type="gramEnd"/>
            <w:r>
              <w:rPr>
                <w:sz w:val="18"/>
              </w:rPr>
              <w:t xml:space="preserve"> the CERF event which was an evening event</w:t>
            </w:r>
            <w:r>
              <w:rPr>
                <w:spacing w:val="-27"/>
                <w:sz w:val="18"/>
              </w:rPr>
              <w:t xml:space="preserve"> </w:t>
            </w:r>
            <w:r>
              <w:rPr>
                <w:sz w:val="18"/>
              </w:rPr>
              <w:t>at Parliament House with a series of short presentations or videos from Indigenous participants (and others)</w:t>
            </w:r>
            <w:r>
              <w:rPr>
                <w:spacing w:val="-12"/>
                <w:sz w:val="18"/>
              </w:rPr>
              <w:t xml:space="preserve"> </w:t>
            </w:r>
            <w:r>
              <w:rPr>
                <w:sz w:val="18"/>
              </w:rPr>
              <w:t>telling</w:t>
            </w:r>
          </w:p>
        </w:tc>
      </w:tr>
    </w:tbl>
    <w:p w14:paraId="4EC25D5F" w14:textId="77777777" w:rsidR="00BD02DE" w:rsidRDefault="00BD02DE">
      <w:pPr>
        <w:jc w:val="both"/>
        <w:rPr>
          <w:sz w:val="18"/>
        </w:rPr>
        <w:sectPr w:rsidR="00BD02DE">
          <w:footerReference w:type="default" r:id="rId7"/>
          <w:type w:val="continuous"/>
          <w:pgSz w:w="11910" w:h="16840"/>
          <w:pgMar w:top="1460" w:right="1320" w:bottom="1260" w:left="1300" w:header="720" w:footer="1066" w:gutter="0"/>
          <w:pgNumType w:start="189"/>
          <w:cols w:space="720"/>
        </w:sect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82"/>
        <w:gridCol w:w="2492"/>
        <w:gridCol w:w="4345"/>
      </w:tblGrid>
      <w:tr w:rsidR="00BD02DE" w:rsidRPr="00AE22F1" w14:paraId="1D1A4CDC" w14:textId="77777777">
        <w:trPr>
          <w:trHeight w:val="496"/>
        </w:trPr>
        <w:tc>
          <w:tcPr>
            <w:tcW w:w="2182" w:type="dxa"/>
            <w:shd w:val="clear" w:color="auto" w:fill="E7FFBD"/>
          </w:tcPr>
          <w:p w14:paraId="1184ECD7" w14:textId="77777777" w:rsidR="00BD02DE" w:rsidRPr="00AE22F1" w:rsidRDefault="00B95B84">
            <w:pPr>
              <w:pStyle w:val="TableParagraph"/>
              <w:spacing w:before="121"/>
              <w:rPr>
                <w:b/>
                <w:bCs/>
                <w:sz w:val="21"/>
              </w:rPr>
            </w:pPr>
            <w:r w:rsidRPr="00AE22F1">
              <w:rPr>
                <w:b/>
                <w:bCs/>
                <w:sz w:val="21"/>
              </w:rPr>
              <w:lastRenderedPageBreak/>
              <w:t>Output</w:t>
            </w:r>
          </w:p>
        </w:tc>
        <w:tc>
          <w:tcPr>
            <w:tcW w:w="2492" w:type="dxa"/>
            <w:shd w:val="clear" w:color="auto" w:fill="E7FFBD"/>
          </w:tcPr>
          <w:p w14:paraId="337EBA17" w14:textId="77777777" w:rsidR="00BD02DE" w:rsidRPr="00AE22F1" w:rsidRDefault="00B95B84">
            <w:pPr>
              <w:pStyle w:val="TableParagraph"/>
              <w:spacing w:before="121"/>
              <w:rPr>
                <w:b/>
                <w:bCs/>
                <w:sz w:val="21"/>
              </w:rPr>
            </w:pPr>
            <w:r w:rsidRPr="00AE22F1">
              <w:rPr>
                <w:b/>
                <w:bCs/>
                <w:sz w:val="21"/>
              </w:rPr>
              <w:t>Audience</w:t>
            </w:r>
          </w:p>
        </w:tc>
        <w:tc>
          <w:tcPr>
            <w:tcW w:w="4345" w:type="dxa"/>
            <w:shd w:val="clear" w:color="auto" w:fill="E7FFBD"/>
          </w:tcPr>
          <w:p w14:paraId="1FB5D0DC" w14:textId="77777777" w:rsidR="00BD02DE" w:rsidRPr="00AE22F1" w:rsidRDefault="00B95B84">
            <w:pPr>
              <w:pStyle w:val="TableParagraph"/>
              <w:spacing w:before="121"/>
              <w:rPr>
                <w:b/>
                <w:bCs/>
                <w:sz w:val="21"/>
              </w:rPr>
            </w:pPr>
            <w:r w:rsidRPr="00AE22F1">
              <w:rPr>
                <w:b/>
                <w:bCs/>
                <w:sz w:val="21"/>
              </w:rPr>
              <w:t>Activities</w:t>
            </w:r>
          </w:p>
        </w:tc>
      </w:tr>
      <w:tr w:rsidR="00BD02DE" w14:paraId="28C8DBF3" w14:textId="77777777">
        <w:trPr>
          <w:trHeight w:val="520"/>
        </w:trPr>
        <w:tc>
          <w:tcPr>
            <w:tcW w:w="2182" w:type="dxa"/>
          </w:tcPr>
          <w:p w14:paraId="15034B99" w14:textId="77777777" w:rsidR="00BD02DE" w:rsidRDefault="00BD02DE">
            <w:pPr>
              <w:pStyle w:val="TableParagraph"/>
              <w:spacing w:before="0"/>
              <w:ind w:left="0"/>
              <w:rPr>
                <w:rFonts w:ascii="Times New Roman"/>
                <w:sz w:val="18"/>
              </w:rPr>
            </w:pPr>
          </w:p>
        </w:tc>
        <w:tc>
          <w:tcPr>
            <w:tcW w:w="2492" w:type="dxa"/>
          </w:tcPr>
          <w:p w14:paraId="3A77DE7C" w14:textId="77777777" w:rsidR="00BD02DE" w:rsidRDefault="00BD02DE">
            <w:pPr>
              <w:pStyle w:val="TableParagraph"/>
              <w:spacing w:before="0"/>
              <w:ind w:left="0"/>
              <w:rPr>
                <w:rFonts w:ascii="Times New Roman"/>
                <w:sz w:val="18"/>
              </w:rPr>
            </w:pPr>
          </w:p>
        </w:tc>
        <w:tc>
          <w:tcPr>
            <w:tcW w:w="4345" w:type="dxa"/>
          </w:tcPr>
          <w:p w14:paraId="239F13D7" w14:textId="77777777" w:rsidR="00BD02DE" w:rsidRDefault="00B95B84">
            <w:pPr>
              <w:pStyle w:val="TableParagraph"/>
              <w:spacing w:before="1"/>
              <w:rPr>
                <w:sz w:val="18"/>
              </w:rPr>
            </w:pPr>
            <w:r>
              <w:rPr>
                <w:sz w:val="18"/>
              </w:rPr>
              <w:t>the NESP story. Could be opportunity to launch the brochure and/or the video.</w:t>
            </w:r>
          </w:p>
        </w:tc>
      </w:tr>
      <w:tr w:rsidR="00BD02DE" w14:paraId="0AAB568C" w14:textId="77777777">
        <w:trPr>
          <w:trHeight w:val="599"/>
        </w:trPr>
        <w:tc>
          <w:tcPr>
            <w:tcW w:w="2182" w:type="dxa"/>
          </w:tcPr>
          <w:p w14:paraId="3CAABFA3" w14:textId="77777777" w:rsidR="00BD02DE" w:rsidRPr="00B95B84" w:rsidRDefault="00B95B84">
            <w:pPr>
              <w:pStyle w:val="TableParagraph"/>
              <w:rPr>
                <w:b/>
                <w:bCs/>
                <w:sz w:val="18"/>
              </w:rPr>
            </w:pPr>
            <w:r w:rsidRPr="00B95B84">
              <w:rPr>
                <w:b/>
                <w:bCs/>
                <w:sz w:val="18"/>
              </w:rPr>
              <w:t>Regional event (Perth)</w:t>
            </w:r>
          </w:p>
        </w:tc>
        <w:tc>
          <w:tcPr>
            <w:tcW w:w="2492" w:type="dxa"/>
          </w:tcPr>
          <w:p w14:paraId="7D869931" w14:textId="77777777" w:rsidR="00BD02DE" w:rsidRDefault="00B95B84">
            <w:pPr>
              <w:pStyle w:val="TableParagraph"/>
              <w:rPr>
                <w:sz w:val="18"/>
              </w:rPr>
            </w:pPr>
            <w:r>
              <w:rPr>
                <w:sz w:val="18"/>
              </w:rPr>
              <w:t xml:space="preserve">Interested </w:t>
            </w:r>
            <w:proofErr w:type="gramStart"/>
            <w:r>
              <w:rPr>
                <w:sz w:val="18"/>
              </w:rPr>
              <w:t>general public</w:t>
            </w:r>
            <w:proofErr w:type="gramEnd"/>
          </w:p>
        </w:tc>
        <w:tc>
          <w:tcPr>
            <w:tcW w:w="4345" w:type="dxa"/>
          </w:tcPr>
          <w:p w14:paraId="2FAFE9DC" w14:textId="77777777" w:rsidR="00BD02DE" w:rsidRDefault="00B95B84">
            <w:pPr>
              <w:pStyle w:val="TableParagraph"/>
              <w:ind w:right="317"/>
              <w:rPr>
                <w:sz w:val="18"/>
              </w:rPr>
            </w:pPr>
            <w:r>
              <w:rPr>
                <w:sz w:val="18"/>
              </w:rPr>
              <w:t>Perth based cross-hub conversation about Indigenous knowledge and nature.</w:t>
            </w:r>
          </w:p>
        </w:tc>
      </w:tr>
      <w:tr w:rsidR="00BD02DE" w14:paraId="491B7994" w14:textId="77777777">
        <w:trPr>
          <w:trHeight w:val="2657"/>
        </w:trPr>
        <w:tc>
          <w:tcPr>
            <w:tcW w:w="2182" w:type="dxa"/>
          </w:tcPr>
          <w:p w14:paraId="6A23E01F" w14:textId="77777777" w:rsidR="00BD02DE" w:rsidRPr="00B95B84" w:rsidRDefault="00B95B84">
            <w:pPr>
              <w:pStyle w:val="TableParagraph"/>
              <w:ind w:right="720"/>
              <w:rPr>
                <w:b/>
                <w:bCs/>
                <w:sz w:val="18"/>
              </w:rPr>
            </w:pPr>
            <w:r w:rsidRPr="00B95B84">
              <w:rPr>
                <w:b/>
                <w:bCs/>
                <w:sz w:val="18"/>
              </w:rPr>
              <w:t>Special sessions at conferences</w:t>
            </w:r>
          </w:p>
        </w:tc>
        <w:tc>
          <w:tcPr>
            <w:tcW w:w="2492" w:type="dxa"/>
          </w:tcPr>
          <w:p w14:paraId="7D59E5FE" w14:textId="77777777" w:rsidR="00BD02DE" w:rsidRDefault="00B95B84">
            <w:pPr>
              <w:pStyle w:val="TableParagraph"/>
              <w:rPr>
                <w:sz w:val="18"/>
              </w:rPr>
            </w:pPr>
            <w:r>
              <w:rPr>
                <w:sz w:val="18"/>
              </w:rPr>
              <w:t>Broader research community</w:t>
            </w:r>
          </w:p>
        </w:tc>
        <w:tc>
          <w:tcPr>
            <w:tcW w:w="4345" w:type="dxa"/>
          </w:tcPr>
          <w:p w14:paraId="7CD92E37" w14:textId="77777777" w:rsidR="00BD02DE" w:rsidRDefault="00B95B84">
            <w:pPr>
              <w:pStyle w:val="TableParagraph"/>
              <w:ind w:right="199"/>
              <w:rPr>
                <w:sz w:val="18"/>
              </w:rPr>
            </w:pPr>
            <w:r>
              <w:rPr>
                <w:sz w:val="18"/>
              </w:rPr>
              <w:t>NESP Hubs could jointly organise special sessions at key conferences (e.g. Ecological Society of Australia) that bring together examples from multiple hubs. Hubs would support Indigenous participants to attend and contribute to the session.</w:t>
            </w:r>
          </w:p>
          <w:p w14:paraId="32CEF861" w14:textId="77777777" w:rsidR="00BD02DE" w:rsidRDefault="00B95B84">
            <w:pPr>
              <w:pStyle w:val="TableParagraph"/>
              <w:ind w:right="135"/>
              <w:rPr>
                <w:sz w:val="18"/>
              </w:rPr>
            </w:pPr>
            <w:r>
              <w:rPr>
                <w:sz w:val="18"/>
              </w:rPr>
              <w:t>The Marine Hub undertook a survey of society members and used this as a starting point for a session on Indigenous engagement. Northern Hub is interested in repeating this in other societies (e.g. Society for Freshwater Science and/or the Ecological Society of Australia).</w:t>
            </w:r>
          </w:p>
        </w:tc>
      </w:tr>
      <w:tr w:rsidR="00BD02DE" w14:paraId="34F2EF96" w14:textId="77777777">
        <w:trPr>
          <w:trHeight w:val="2378"/>
        </w:trPr>
        <w:tc>
          <w:tcPr>
            <w:tcW w:w="2182" w:type="dxa"/>
          </w:tcPr>
          <w:p w14:paraId="3E140286" w14:textId="77777777" w:rsidR="00BD02DE" w:rsidRPr="00B95B84" w:rsidRDefault="00B95B84">
            <w:pPr>
              <w:pStyle w:val="TableParagraph"/>
              <w:ind w:right="225"/>
              <w:rPr>
                <w:b/>
                <w:bCs/>
                <w:sz w:val="18"/>
              </w:rPr>
            </w:pPr>
            <w:r w:rsidRPr="00B95B84">
              <w:rPr>
                <w:b/>
                <w:bCs/>
                <w:sz w:val="18"/>
              </w:rPr>
              <w:t>Indigenous science event and Questacon</w:t>
            </w:r>
          </w:p>
        </w:tc>
        <w:tc>
          <w:tcPr>
            <w:tcW w:w="2492" w:type="dxa"/>
          </w:tcPr>
          <w:p w14:paraId="20B1ADC4" w14:textId="77777777" w:rsidR="00BD02DE" w:rsidRDefault="00B95B84">
            <w:pPr>
              <w:pStyle w:val="TableParagraph"/>
              <w:ind w:right="202"/>
              <w:rPr>
                <w:sz w:val="18"/>
              </w:rPr>
            </w:pPr>
            <w:r>
              <w:rPr>
                <w:sz w:val="18"/>
              </w:rPr>
              <w:t xml:space="preserve">School children and </w:t>
            </w:r>
            <w:proofErr w:type="gramStart"/>
            <w:r>
              <w:rPr>
                <w:sz w:val="18"/>
              </w:rPr>
              <w:t>general public</w:t>
            </w:r>
            <w:proofErr w:type="gramEnd"/>
            <w:r>
              <w:rPr>
                <w:sz w:val="18"/>
              </w:rPr>
              <w:t>. Audience max 120pax.</w:t>
            </w:r>
          </w:p>
        </w:tc>
        <w:tc>
          <w:tcPr>
            <w:tcW w:w="4345" w:type="dxa"/>
          </w:tcPr>
          <w:p w14:paraId="5B63FEEF" w14:textId="77777777" w:rsidR="00BD02DE" w:rsidRDefault="00B95B84">
            <w:pPr>
              <w:pStyle w:val="TableParagraph"/>
              <w:ind w:right="330"/>
              <w:jc w:val="both"/>
              <w:rPr>
                <w:sz w:val="18"/>
              </w:rPr>
            </w:pPr>
            <w:r>
              <w:rPr>
                <w:sz w:val="18"/>
              </w:rPr>
              <w:t>Indigenous science conversation during science week. August 2018.</w:t>
            </w:r>
          </w:p>
          <w:p w14:paraId="263802A6" w14:textId="77777777" w:rsidR="00BD02DE" w:rsidRDefault="00B95B84">
            <w:pPr>
              <w:pStyle w:val="TableParagraph"/>
              <w:spacing w:before="79"/>
              <w:ind w:right="169"/>
              <w:jc w:val="both"/>
              <w:rPr>
                <w:sz w:val="18"/>
              </w:rPr>
            </w:pPr>
            <w:r>
              <w:rPr>
                <w:sz w:val="18"/>
              </w:rPr>
              <w:t>All Hubs invited to have an Indigenous representative to speak on panel about Indigenous science during science week.</w:t>
            </w:r>
          </w:p>
          <w:p w14:paraId="4DCA5C64" w14:textId="77777777" w:rsidR="00BD02DE" w:rsidRDefault="00B95B84">
            <w:pPr>
              <w:pStyle w:val="TableParagraph"/>
              <w:spacing w:before="82"/>
              <w:jc w:val="both"/>
              <w:rPr>
                <w:sz w:val="18"/>
              </w:rPr>
            </w:pPr>
            <w:r>
              <w:rPr>
                <w:sz w:val="18"/>
              </w:rPr>
              <w:t>All Hubs encouraged to participate.</w:t>
            </w:r>
          </w:p>
          <w:p w14:paraId="67474A1C" w14:textId="77777777" w:rsidR="00BD02DE" w:rsidRDefault="00B95B84">
            <w:pPr>
              <w:pStyle w:val="TableParagraph"/>
              <w:spacing w:before="78"/>
              <w:ind w:right="101"/>
              <w:rPr>
                <w:sz w:val="18"/>
              </w:rPr>
            </w:pPr>
            <w:r>
              <w:rPr>
                <w:sz w:val="18"/>
              </w:rPr>
              <w:t>Locked in for Wednesday of Science week at Questacon - One session during the day for schools and one session in evening for</w:t>
            </w:r>
            <w:r>
              <w:rPr>
                <w:spacing w:val="-2"/>
                <w:sz w:val="18"/>
              </w:rPr>
              <w:t xml:space="preserve"> </w:t>
            </w:r>
            <w:r>
              <w:rPr>
                <w:sz w:val="18"/>
              </w:rPr>
              <w:t>public.</w:t>
            </w:r>
          </w:p>
        </w:tc>
      </w:tr>
    </w:tbl>
    <w:p w14:paraId="66DE180B" w14:textId="77777777" w:rsidR="00BD02DE" w:rsidRDefault="00BD02DE">
      <w:pPr>
        <w:pStyle w:val="BodyText"/>
        <w:spacing w:before="12"/>
        <w:rPr>
          <w:sz w:val="15"/>
        </w:rPr>
      </w:pPr>
    </w:p>
    <w:p w14:paraId="714D53EE" w14:textId="77777777" w:rsidR="00BD02DE" w:rsidRPr="00AE22F1" w:rsidRDefault="00B95B84">
      <w:pPr>
        <w:pStyle w:val="Heading1"/>
        <w:numPr>
          <w:ilvl w:val="0"/>
          <w:numId w:val="2"/>
        </w:numPr>
        <w:tabs>
          <w:tab w:val="left" w:pos="395"/>
        </w:tabs>
        <w:ind w:left="394"/>
        <w:rPr>
          <w:b/>
          <w:bCs/>
        </w:rPr>
      </w:pPr>
      <w:r w:rsidRPr="00AE22F1">
        <w:rPr>
          <w:b/>
          <w:bCs/>
          <w:color w:val="76B800"/>
        </w:rPr>
        <w:t>Supporting Indigenous research collaboration in the NESP and more</w:t>
      </w:r>
      <w:r w:rsidRPr="00AE22F1">
        <w:rPr>
          <w:b/>
          <w:bCs/>
          <w:color w:val="76B800"/>
          <w:spacing w:val="-8"/>
        </w:rPr>
        <w:t xml:space="preserve"> </w:t>
      </w:r>
      <w:r w:rsidRPr="00AE22F1">
        <w:rPr>
          <w:b/>
          <w:bCs/>
          <w:color w:val="76B800"/>
        </w:rPr>
        <w:t>broadly</w:t>
      </w:r>
    </w:p>
    <w:p w14:paraId="3E99CDEB" w14:textId="77777777" w:rsidR="00BD02DE" w:rsidRDefault="00B95B84">
      <w:pPr>
        <w:pStyle w:val="BodyText"/>
        <w:spacing w:before="143" w:line="259" w:lineRule="auto"/>
        <w:ind w:left="140" w:right="328"/>
      </w:pPr>
      <w:r>
        <w:t xml:space="preserve">As well as increasing interest in more collaborative approaches, these is also a recognised need to help support a greater level of collaboration. This need comes from a range of sources including, for example, non-Indigenous researchers seeking advice on how to engage with Indigenous people as well as from Indigenous people seeking support for more equitable collaborations. There has already been some sharing of ideas between CERF, NERP and NESP and among the current NESP Hubs but much of this has occurred “organically” </w:t>
      </w:r>
      <w:proofErr w:type="gramStart"/>
      <w:r>
        <w:t>as a result of</w:t>
      </w:r>
      <w:proofErr w:type="gramEnd"/>
      <w:r>
        <w:t xml:space="preserve"> the same individuals working for more than one Hub. There is an opportunity to make it easier for people to increase the quality and level of activity on this front by providing easy access to resources and advice on how to do it. This may include sharing examples of research protocols and agreements,</w:t>
      </w:r>
    </w:p>
    <w:p w14:paraId="2D7D7EF9" w14:textId="77777777" w:rsidR="00BD02DE" w:rsidRDefault="00BD02DE">
      <w:pPr>
        <w:pStyle w:val="BodyText"/>
        <w:spacing w:before="8"/>
        <w:rPr>
          <w:sz w:val="9"/>
        </w:r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82"/>
        <w:gridCol w:w="2492"/>
        <w:gridCol w:w="4345"/>
      </w:tblGrid>
      <w:tr w:rsidR="00BD02DE" w:rsidRPr="00AE22F1" w14:paraId="55EFAD6F" w14:textId="77777777">
        <w:trPr>
          <w:trHeight w:val="484"/>
        </w:trPr>
        <w:tc>
          <w:tcPr>
            <w:tcW w:w="2182" w:type="dxa"/>
            <w:shd w:val="clear" w:color="auto" w:fill="E7FFBD"/>
          </w:tcPr>
          <w:p w14:paraId="427CDEB0" w14:textId="77777777" w:rsidR="00BD02DE" w:rsidRPr="00AE22F1" w:rsidRDefault="00B95B84">
            <w:pPr>
              <w:pStyle w:val="TableParagraph"/>
              <w:spacing w:before="121"/>
              <w:rPr>
                <w:b/>
                <w:bCs/>
                <w:sz w:val="21"/>
                <w:szCs w:val="21"/>
              </w:rPr>
            </w:pPr>
            <w:r w:rsidRPr="00AE22F1">
              <w:rPr>
                <w:b/>
                <w:bCs/>
                <w:sz w:val="21"/>
                <w:szCs w:val="21"/>
              </w:rPr>
              <w:t>Output</w:t>
            </w:r>
          </w:p>
        </w:tc>
        <w:tc>
          <w:tcPr>
            <w:tcW w:w="2492" w:type="dxa"/>
            <w:shd w:val="clear" w:color="auto" w:fill="E7FFBD"/>
          </w:tcPr>
          <w:p w14:paraId="4B77E3AC" w14:textId="77777777" w:rsidR="00BD02DE" w:rsidRPr="00AE22F1" w:rsidRDefault="00B95B84">
            <w:pPr>
              <w:pStyle w:val="TableParagraph"/>
              <w:spacing w:before="121"/>
              <w:rPr>
                <w:b/>
                <w:bCs/>
                <w:sz w:val="21"/>
                <w:szCs w:val="21"/>
              </w:rPr>
            </w:pPr>
            <w:r w:rsidRPr="00AE22F1">
              <w:rPr>
                <w:b/>
                <w:bCs/>
                <w:sz w:val="21"/>
                <w:szCs w:val="21"/>
              </w:rPr>
              <w:t>Audience</w:t>
            </w:r>
          </w:p>
        </w:tc>
        <w:tc>
          <w:tcPr>
            <w:tcW w:w="4345" w:type="dxa"/>
            <w:shd w:val="clear" w:color="auto" w:fill="E7FFBD"/>
          </w:tcPr>
          <w:p w14:paraId="5166203D" w14:textId="77777777" w:rsidR="00BD02DE" w:rsidRPr="00AE22F1" w:rsidRDefault="00B95B84">
            <w:pPr>
              <w:pStyle w:val="TableParagraph"/>
              <w:spacing w:before="121"/>
              <w:rPr>
                <w:b/>
                <w:bCs/>
                <w:sz w:val="21"/>
                <w:szCs w:val="21"/>
              </w:rPr>
            </w:pPr>
            <w:r w:rsidRPr="00AE22F1">
              <w:rPr>
                <w:b/>
                <w:bCs/>
                <w:sz w:val="21"/>
                <w:szCs w:val="21"/>
              </w:rPr>
              <w:t>Activities</w:t>
            </w:r>
          </w:p>
        </w:tc>
      </w:tr>
      <w:tr w:rsidR="00BD02DE" w14:paraId="0A8311BC" w14:textId="77777777">
        <w:trPr>
          <w:trHeight w:val="1461"/>
        </w:trPr>
        <w:tc>
          <w:tcPr>
            <w:tcW w:w="2182" w:type="dxa"/>
          </w:tcPr>
          <w:p w14:paraId="66DD5D07" w14:textId="77777777" w:rsidR="00BD02DE" w:rsidRPr="00B95B84" w:rsidRDefault="00B95B84">
            <w:pPr>
              <w:pStyle w:val="TableParagraph"/>
              <w:ind w:right="354"/>
              <w:rPr>
                <w:b/>
                <w:bCs/>
                <w:sz w:val="20"/>
              </w:rPr>
            </w:pPr>
            <w:r w:rsidRPr="00B95B84">
              <w:rPr>
                <w:b/>
                <w:bCs/>
                <w:sz w:val="20"/>
              </w:rPr>
              <w:t>The NESP Indigenous network</w:t>
            </w:r>
          </w:p>
        </w:tc>
        <w:tc>
          <w:tcPr>
            <w:tcW w:w="2492" w:type="dxa"/>
          </w:tcPr>
          <w:p w14:paraId="5546D059" w14:textId="77777777" w:rsidR="00BD02DE" w:rsidRDefault="00B95B84">
            <w:pPr>
              <w:pStyle w:val="TableParagraph"/>
              <w:rPr>
                <w:sz w:val="20"/>
              </w:rPr>
            </w:pPr>
            <w:r>
              <w:rPr>
                <w:sz w:val="20"/>
              </w:rPr>
              <w:t>Indigenous people currently involved in NESP</w:t>
            </w:r>
          </w:p>
        </w:tc>
        <w:tc>
          <w:tcPr>
            <w:tcW w:w="4345" w:type="dxa"/>
          </w:tcPr>
          <w:p w14:paraId="18B3DB5F" w14:textId="77777777" w:rsidR="00BD02DE" w:rsidRDefault="00B95B84">
            <w:pPr>
              <w:pStyle w:val="TableParagraph"/>
              <w:rPr>
                <w:sz w:val="20"/>
              </w:rPr>
            </w:pPr>
            <w:r>
              <w:rPr>
                <w:sz w:val="20"/>
              </w:rPr>
              <w:t xml:space="preserve">Support the establishment of a NESP Indigenous network that strengthens links among Indigenous people involved in NESP </w:t>
            </w:r>
            <w:proofErr w:type="gramStart"/>
            <w:r>
              <w:rPr>
                <w:sz w:val="20"/>
              </w:rPr>
              <w:t>including:</w:t>
            </w:r>
            <w:proofErr w:type="gramEnd"/>
            <w:r>
              <w:rPr>
                <w:sz w:val="20"/>
              </w:rPr>
              <w:t xml:space="preserve"> researchers, collaborators, HSC members, IAG members etc.</w:t>
            </w:r>
          </w:p>
          <w:p w14:paraId="46F39AB6" w14:textId="77777777" w:rsidR="00BD02DE" w:rsidRDefault="00B95B84">
            <w:pPr>
              <w:pStyle w:val="TableParagraph"/>
              <w:rPr>
                <w:sz w:val="20"/>
              </w:rPr>
            </w:pPr>
            <w:r>
              <w:rPr>
                <w:sz w:val="20"/>
              </w:rPr>
              <w:t>Hold an annual event to foster the network.</w:t>
            </w:r>
          </w:p>
        </w:tc>
      </w:tr>
      <w:tr w:rsidR="00BD02DE" w14:paraId="6A36B819" w14:textId="77777777">
        <w:trPr>
          <w:trHeight w:val="1948"/>
        </w:trPr>
        <w:tc>
          <w:tcPr>
            <w:tcW w:w="2182" w:type="dxa"/>
          </w:tcPr>
          <w:p w14:paraId="614C1610" w14:textId="77777777" w:rsidR="00BD02DE" w:rsidRPr="00B95B84" w:rsidRDefault="00B95B84">
            <w:pPr>
              <w:pStyle w:val="TableParagraph"/>
              <w:ind w:right="373"/>
              <w:rPr>
                <w:b/>
                <w:bCs/>
                <w:sz w:val="20"/>
              </w:rPr>
            </w:pPr>
            <w:r w:rsidRPr="00B95B84">
              <w:rPr>
                <w:b/>
                <w:bCs/>
                <w:sz w:val="20"/>
              </w:rPr>
              <w:t>Web portal with resources to support Indigenous collaboration</w:t>
            </w:r>
          </w:p>
        </w:tc>
        <w:tc>
          <w:tcPr>
            <w:tcW w:w="2492" w:type="dxa"/>
          </w:tcPr>
          <w:p w14:paraId="3EF74991" w14:textId="77777777" w:rsidR="00BD02DE" w:rsidRDefault="00B95B84">
            <w:pPr>
              <w:pStyle w:val="TableParagraph"/>
              <w:ind w:right="291"/>
              <w:rPr>
                <w:sz w:val="20"/>
              </w:rPr>
            </w:pPr>
            <w:r>
              <w:rPr>
                <w:sz w:val="20"/>
              </w:rPr>
              <w:t>Researchers in NESP and more broadly; Indigenous collaborators; research funders</w:t>
            </w:r>
          </w:p>
        </w:tc>
        <w:tc>
          <w:tcPr>
            <w:tcW w:w="4345" w:type="dxa"/>
          </w:tcPr>
          <w:p w14:paraId="2FCE0CC7" w14:textId="77777777" w:rsidR="00BD02DE" w:rsidRDefault="00B95B84">
            <w:pPr>
              <w:pStyle w:val="TableParagraph"/>
              <w:rPr>
                <w:sz w:val="20"/>
              </w:rPr>
            </w:pPr>
            <w:r>
              <w:rPr>
                <w:sz w:val="20"/>
              </w:rPr>
              <w:t>Develop a web portal that brings together helpful resources to support Indigenous collaboration in environmental research.</w:t>
            </w:r>
          </w:p>
          <w:p w14:paraId="0ECD049D" w14:textId="77777777" w:rsidR="00BD02DE" w:rsidRDefault="00B95B84">
            <w:pPr>
              <w:pStyle w:val="TableParagraph"/>
              <w:spacing w:before="79"/>
              <w:rPr>
                <w:sz w:val="20"/>
              </w:rPr>
            </w:pPr>
            <w:r>
              <w:rPr>
                <w:sz w:val="20"/>
              </w:rPr>
              <w:t>This would be a collation of the various resources from the Hubs including examples of research protocols and research agreements. Links to key websites (IATSIS, land councils?).</w:t>
            </w:r>
          </w:p>
        </w:tc>
      </w:tr>
    </w:tbl>
    <w:p w14:paraId="504198B5" w14:textId="77777777" w:rsidR="00BD02DE" w:rsidRDefault="00BD02DE">
      <w:pPr>
        <w:rPr>
          <w:sz w:val="20"/>
        </w:rPr>
        <w:sectPr w:rsidR="00BD02DE">
          <w:pgSz w:w="11910" w:h="16840"/>
          <w:pgMar w:top="1420" w:right="1320" w:bottom="1260" w:left="1300" w:header="0" w:footer="1066" w:gutter="0"/>
          <w:cols w:space="720"/>
        </w:sect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82"/>
        <w:gridCol w:w="2492"/>
        <w:gridCol w:w="4345"/>
      </w:tblGrid>
      <w:tr w:rsidR="00BD02DE" w14:paraId="6D4F2C4E" w14:textId="77777777">
        <w:trPr>
          <w:trHeight w:val="484"/>
        </w:trPr>
        <w:tc>
          <w:tcPr>
            <w:tcW w:w="2182" w:type="dxa"/>
            <w:shd w:val="clear" w:color="auto" w:fill="E7FFBD"/>
          </w:tcPr>
          <w:p w14:paraId="7F8C3ABB" w14:textId="77777777" w:rsidR="00BD02DE" w:rsidRPr="00AE22F1" w:rsidRDefault="00B95B84">
            <w:pPr>
              <w:pStyle w:val="TableParagraph"/>
              <w:spacing w:before="121"/>
              <w:rPr>
                <w:b/>
                <w:bCs/>
                <w:sz w:val="21"/>
                <w:szCs w:val="21"/>
              </w:rPr>
            </w:pPr>
            <w:r w:rsidRPr="00AE22F1">
              <w:rPr>
                <w:b/>
                <w:bCs/>
                <w:sz w:val="21"/>
                <w:szCs w:val="21"/>
              </w:rPr>
              <w:lastRenderedPageBreak/>
              <w:t>Output</w:t>
            </w:r>
          </w:p>
        </w:tc>
        <w:tc>
          <w:tcPr>
            <w:tcW w:w="2492" w:type="dxa"/>
            <w:shd w:val="clear" w:color="auto" w:fill="E7FFBD"/>
          </w:tcPr>
          <w:p w14:paraId="41B6161D" w14:textId="77777777" w:rsidR="00BD02DE" w:rsidRPr="00AE22F1" w:rsidRDefault="00B95B84">
            <w:pPr>
              <w:pStyle w:val="TableParagraph"/>
              <w:spacing w:before="121"/>
              <w:rPr>
                <w:b/>
                <w:bCs/>
                <w:sz w:val="21"/>
                <w:szCs w:val="21"/>
              </w:rPr>
            </w:pPr>
            <w:r w:rsidRPr="00AE22F1">
              <w:rPr>
                <w:b/>
                <w:bCs/>
                <w:sz w:val="21"/>
                <w:szCs w:val="21"/>
              </w:rPr>
              <w:t>Audience</w:t>
            </w:r>
          </w:p>
        </w:tc>
        <w:tc>
          <w:tcPr>
            <w:tcW w:w="4345" w:type="dxa"/>
            <w:shd w:val="clear" w:color="auto" w:fill="E7FFBD"/>
          </w:tcPr>
          <w:p w14:paraId="017B2BE2" w14:textId="77777777" w:rsidR="00BD02DE" w:rsidRPr="00AE22F1" w:rsidRDefault="00B95B84">
            <w:pPr>
              <w:pStyle w:val="TableParagraph"/>
              <w:spacing w:before="121"/>
              <w:rPr>
                <w:b/>
                <w:bCs/>
                <w:sz w:val="21"/>
                <w:szCs w:val="21"/>
              </w:rPr>
            </w:pPr>
            <w:r w:rsidRPr="00AE22F1">
              <w:rPr>
                <w:b/>
                <w:bCs/>
                <w:sz w:val="21"/>
                <w:szCs w:val="21"/>
              </w:rPr>
              <w:t>Activities</w:t>
            </w:r>
          </w:p>
        </w:tc>
      </w:tr>
      <w:tr w:rsidR="00BD02DE" w14:paraId="41D8AC8C" w14:textId="77777777">
        <w:trPr>
          <w:trHeight w:val="813"/>
        </w:trPr>
        <w:tc>
          <w:tcPr>
            <w:tcW w:w="2182" w:type="dxa"/>
          </w:tcPr>
          <w:p w14:paraId="116396D0" w14:textId="77777777" w:rsidR="00BD02DE" w:rsidRDefault="00BD02DE">
            <w:pPr>
              <w:pStyle w:val="TableParagraph"/>
              <w:spacing w:before="0"/>
              <w:ind w:left="0"/>
              <w:rPr>
                <w:rFonts w:ascii="Times New Roman"/>
                <w:sz w:val="20"/>
              </w:rPr>
            </w:pPr>
          </w:p>
        </w:tc>
        <w:tc>
          <w:tcPr>
            <w:tcW w:w="2492" w:type="dxa"/>
          </w:tcPr>
          <w:p w14:paraId="349D6CED" w14:textId="77777777" w:rsidR="00BD02DE" w:rsidRDefault="00BD02DE">
            <w:pPr>
              <w:pStyle w:val="TableParagraph"/>
              <w:spacing w:before="0"/>
              <w:ind w:left="0"/>
              <w:rPr>
                <w:rFonts w:ascii="Times New Roman"/>
                <w:sz w:val="20"/>
              </w:rPr>
            </w:pPr>
          </w:p>
        </w:tc>
        <w:tc>
          <w:tcPr>
            <w:tcW w:w="4345" w:type="dxa"/>
          </w:tcPr>
          <w:p w14:paraId="16687EE4" w14:textId="77777777" w:rsidR="00BD02DE" w:rsidRDefault="00B95B84">
            <w:pPr>
              <w:pStyle w:val="TableParagraph"/>
              <w:spacing w:before="1"/>
              <w:ind w:right="204"/>
              <w:rPr>
                <w:sz w:val="20"/>
              </w:rPr>
            </w:pPr>
            <w:r>
              <w:rPr>
                <w:sz w:val="20"/>
              </w:rPr>
              <w:t>This could also include a discussion forum or similar for people to post questions, seek advice etc.</w:t>
            </w:r>
          </w:p>
        </w:tc>
      </w:tr>
    </w:tbl>
    <w:p w14:paraId="306047C9" w14:textId="77777777" w:rsidR="00BD02DE" w:rsidRDefault="00BD02DE">
      <w:pPr>
        <w:pStyle w:val="BodyText"/>
        <w:spacing w:before="12"/>
        <w:rPr>
          <w:sz w:val="15"/>
        </w:rPr>
      </w:pPr>
    </w:p>
    <w:p w14:paraId="78AEA416" w14:textId="77777777" w:rsidR="00BD02DE" w:rsidRPr="00AE22F1" w:rsidRDefault="00B95B84">
      <w:pPr>
        <w:pStyle w:val="Heading1"/>
        <w:numPr>
          <w:ilvl w:val="0"/>
          <w:numId w:val="2"/>
        </w:numPr>
        <w:tabs>
          <w:tab w:val="left" w:pos="398"/>
        </w:tabs>
        <w:ind w:left="397" w:hanging="258"/>
        <w:rPr>
          <w:b/>
          <w:bCs/>
        </w:rPr>
      </w:pPr>
      <w:r w:rsidRPr="00AE22F1">
        <w:rPr>
          <w:b/>
          <w:bCs/>
          <w:color w:val="76B800"/>
        </w:rPr>
        <w:t>Informing NESP</w:t>
      </w:r>
      <w:r w:rsidRPr="00AE22F1">
        <w:rPr>
          <w:b/>
          <w:bCs/>
          <w:color w:val="76B800"/>
          <w:spacing w:val="1"/>
        </w:rPr>
        <w:t xml:space="preserve"> </w:t>
      </w:r>
      <w:r w:rsidRPr="00AE22F1">
        <w:rPr>
          <w:b/>
          <w:bCs/>
          <w:color w:val="76B800"/>
        </w:rPr>
        <w:t>2.0</w:t>
      </w:r>
    </w:p>
    <w:p w14:paraId="5ED9D76D" w14:textId="77777777" w:rsidR="00BD02DE" w:rsidRDefault="00B95B84">
      <w:pPr>
        <w:pStyle w:val="BodyText"/>
        <w:spacing w:before="143" w:line="259" w:lineRule="auto"/>
        <w:ind w:left="140" w:right="145"/>
      </w:pPr>
      <w:r>
        <w:t>There was discussion around what could be done under NESP to ensure that next iteration would continue to strengthen Indigenous research participation and collaboration. For this to occur it was recognised that the development of NESP 2 would need to be planned with an understanding of what Indigenous-led research means, what an “Indigenous Hub” might look like and what are the key Indigenous priorities for environmental research. To influence the design of NESP 2, this information would be needed over the next 12-18 months. It is possible that the current NESP Hubs could contribute to this by supporting</w:t>
      </w:r>
    </w:p>
    <w:p w14:paraId="662A5F1D" w14:textId="77777777" w:rsidR="00BD02DE" w:rsidRDefault="00B95B84">
      <w:pPr>
        <w:pStyle w:val="BodyText"/>
        <w:spacing w:line="256" w:lineRule="exact"/>
        <w:ind w:left="140"/>
      </w:pPr>
      <w:r>
        <w:t>Indigenous researchers, IAG and HSC members from NESP Hubs to progress this using the Hub’s current</w:t>
      </w:r>
    </w:p>
    <w:p w14:paraId="028FD8AB" w14:textId="77777777" w:rsidR="00BD02DE" w:rsidRDefault="00B95B84">
      <w:pPr>
        <w:pStyle w:val="BodyText"/>
        <w:spacing w:before="20"/>
        <w:ind w:left="140"/>
      </w:pPr>
      <w:r>
        <w:t>resources.</w:t>
      </w:r>
    </w:p>
    <w:p w14:paraId="6377D8A2" w14:textId="77777777" w:rsidR="00BD02DE" w:rsidRDefault="00BD02DE">
      <w:pPr>
        <w:pStyle w:val="BodyText"/>
        <w:spacing w:before="8"/>
        <w:rPr>
          <w:sz w:val="14"/>
        </w:rPr>
      </w:pPr>
    </w:p>
    <w:tbl>
      <w:tblPr>
        <w:tblW w:w="0" w:type="auto"/>
        <w:tblInd w:w="15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82"/>
        <w:gridCol w:w="2492"/>
        <w:gridCol w:w="4345"/>
      </w:tblGrid>
      <w:tr w:rsidR="00BD02DE" w:rsidRPr="00AE22F1" w14:paraId="5F6F743F" w14:textId="77777777">
        <w:trPr>
          <w:trHeight w:val="484"/>
        </w:trPr>
        <w:tc>
          <w:tcPr>
            <w:tcW w:w="2182" w:type="dxa"/>
            <w:shd w:val="clear" w:color="auto" w:fill="E7FFBD"/>
          </w:tcPr>
          <w:p w14:paraId="07BEA7C2" w14:textId="77777777" w:rsidR="00BD02DE" w:rsidRPr="00AE22F1" w:rsidRDefault="00B95B84">
            <w:pPr>
              <w:pStyle w:val="TableParagraph"/>
              <w:spacing w:before="121"/>
              <w:rPr>
                <w:b/>
                <w:bCs/>
                <w:sz w:val="21"/>
                <w:szCs w:val="21"/>
              </w:rPr>
            </w:pPr>
            <w:r w:rsidRPr="00AE22F1">
              <w:rPr>
                <w:b/>
                <w:bCs/>
                <w:sz w:val="21"/>
                <w:szCs w:val="21"/>
              </w:rPr>
              <w:t>Output</w:t>
            </w:r>
          </w:p>
        </w:tc>
        <w:tc>
          <w:tcPr>
            <w:tcW w:w="2492" w:type="dxa"/>
            <w:shd w:val="clear" w:color="auto" w:fill="E7FFBD"/>
          </w:tcPr>
          <w:p w14:paraId="38366CFB" w14:textId="77777777" w:rsidR="00BD02DE" w:rsidRPr="00AE22F1" w:rsidRDefault="00B95B84">
            <w:pPr>
              <w:pStyle w:val="TableParagraph"/>
              <w:spacing w:before="121"/>
              <w:rPr>
                <w:b/>
                <w:bCs/>
                <w:sz w:val="21"/>
                <w:szCs w:val="21"/>
              </w:rPr>
            </w:pPr>
            <w:r w:rsidRPr="00AE22F1">
              <w:rPr>
                <w:b/>
                <w:bCs/>
                <w:sz w:val="21"/>
                <w:szCs w:val="21"/>
              </w:rPr>
              <w:t>Audience</w:t>
            </w:r>
          </w:p>
        </w:tc>
        <w:tc>
          <w:tcPr>
            <w:tcW w:w="4345" w:type="dxa"/>
            <w:shd w:val="clear" w:color="auto" w:fill="E7FFBD"/>
          </w:tcPr>
          <w:p w14:paraId="1AFFB92B" w14:textId="77777777" w:rsidR="00BD02DE" w:rsidRPr="00AE22F1" w:rsidRDefault="00B95B84">
            <w:pPr>
              <w:pStyle w:val="TableParagraph"/>
              <w:spacing w:before="121"/>
              <w:rPr>
                <w:b/>
                <w:bCs/>
                <w:sz w:val="21"/>
                <w:szCs w:val="21"/>
              </w:rPr>
            </w:pPr>
            <w:r w:rsidRPr="00AE22F1">
              <w:rPr>
                <w:b/>
                <w:bCs/>
                <w:sz w:val="21"/>
                <w:szCs w:val="21"/>
              </w:rPr>
              <w:t>Activities</w:t>
            </w:r>
          </w:p>
        </w:tc>
      </w:tr>
      <w:tr w:rsidR="00BD02DE" w14:paraId="4A77CCBF" w14:textId="77777777">
        <w:trPr>
          <w:trHeight w:val="2762"/>
        </w:trPr>
        <w:tc>
          <w:tcPr>
            <w:tcW w:w="2182" w:type="dxa"/>
          </w:tcPr>
          <w:p w14:paraId="51CB759E" w14:textId="77777777" w:rsidR="00BD02DE" w:rsidRPr="00B95B84" w:rsidRDefault="00B95B84">
            <w:pPr>
              <w:pStyle w:val="TableParagraph"/>
              <w:ind w:right="419"/>
              <w:rPr>
                <w:b/>
                <w:bCs/>
                <w:sz w:val="20"/>
              </w:rPr>
            </w:pPr>
            <w:r w:rsidRPr="00B95B84">
              <w:rPr>
                <w:b/>
                <w:bCs/>
                <w:sz w:val="20"/>
              </w:rPr>
              <w:t>Indigenous NESP members gathering.</w:t>
            </w:r>
          </w:p>
          <w:p w14:paraId="056C1B59" w14:textId="77777777" w:rsidR="00BD02DE" w:rsidRPr="00B95B84" w:rsidRDefault="00BD02DE">
            <w:pPr>
              <w:pStyle w:val="TableParagraph"/>
              <w:spacing w:before="0"/>
              <w:ind w:left="0"/>
              <w:rPr>
                <w:b/>
                <w:bCs/>
                <w:sz w:val="20"/>
              </w:rPr>
            </w:pPr>
          </w:p>
          <w:p w14:paraId="1F61DCDB" w14:textId="77777777" w:rsidR="00BD02DE" w:rsidRPr="00B95B84" w:rsidRDefault="00B95B84">
            <w:pPr>
              <w:pStyle w:val="TableParagraph"/>
              <w:spacing w:before="161"/>
              <w:ind w:right="118"/>
              <w:rPr>
                <w:b/>
                <w:bCs/>
                <w:sz w:val="20"/>
              </w:rPr>
            </w:pPr>
            <w:r w:rsidRPr="00B95B84">
              <w:rPr>
                <w:b/>
                <w:bCs/>
                <w:sz w:val="20"/>
              </w:rPr>
              <w:t>Report from Indigenous gathering including characteristics of an Indigenous Hub and a process for identifying Indigenous priorities for NESP 2.</w:t>
            </w:r>
          </w:p>
        </w:tc>
        <w:tc>
          <w:tcPr>
            <w:tcW w:w="2492" w:type="dxa"/>
          </w:tcPr>
          <w:p w14:paraId="086287E4" w14:textId="77777777" w:rsidR="00BD02DE" w:rsidRDefault="00B95B84">
            <w:pPr>
              <w:pStyle w:val="TableParagraph"/>
              <w:rPr>
                <w:sz w:val="20"/>
              </w:rPr>
            </w:pPr>
            <w:r>
              <w:rPr>
                <w:sz w:val="20"/>
              </w:rPr>
              <w:t>DoEE NESP team</w:t>
            </w:r>
          </w:p>
        </w:tc>
        <w:tc>
          <w:tcPr>
            <w:tcW w:w="4345" w:type="dxa"/>
          </w:tcPr>
          <w:p w14:paraId="4703F07F" w14:textId="77777777" w:rsidR="00BD02DE" w:rsidRDefault="00B95B84">
            <w:pPr>
              <w:pStyle w:val="TableParagraph"/>
              <w:rPr>
                <w:sz w:val="20"/>
              </w:rPr>
            </w:pPr>
            <w:r>
              <w:rPr>
                <w:sz w:val="20"/>
              </w:rPr>
              <w:t>Indigenous members (only) of NESP (maybe IAC) gather to further conversation about NESP 2.0. Discussion would include:</w:t>
            </w:r>
          </w:p>
          <w:p w14:paraId="7D2E1A97" w14:textId="77777777" w:rsidR="00BD02DE" w:rsidRDefault="00B95B84">
            <w:pPr>
              <w:pStyle w:val="TableParagraph"/>
              <w:numPr>
                <w:ilvl w:val="0"/>
                <w:numId w:val="1"/>
              </w:numPr>
              <w:tabs>
                <w:tab w:val="left" w:pos="587"/>
                <w:tab w:val="left" w:pos="588"/>
              </w:tabs>
              <w:spacing w:line="292" w:lineRule="exact"/>
              <w:ind w:hanging="361"/>
              <w:rPr>
                <w:sz w:val="20"/>
              </w:rPr>
            </w:pPr>
            <w:r>
              <w:rPr>
                <w:sz w:val="20"/>
              </w:rPr>
              <w:t>What does Indigenous led research</w:t>
            </w:r>
            <w:r>
              <w:rPr>
                <w:spacing w:val="-10"/>
                <w:sz w:val="20"/>
              </w:rPr>
              <w:t xml:space="preserve"> </w:t>
            </w:r>
            <w:r>
              <w:rPr>
                <w:sz w:val="20"/>
              </w:rPr>
              <w:t>mean?</w:t>
            </w:r>
          </w:p>
          <w:p w14:paraId="6CBF069E" w14:textId="77777777" w:rsidR="00BD02DE" w:rsidRDefault="00B95B84">
            <w:pPr>
              <w:pStyle w:val="TableParagraph"/>
              <w:numPr>
                <w:ilvl w:val="0"/>
                <w:numId w:val="1"/>
              </w:numPr>
              <w:tabs>
                <w:tab w:val="left" w:pos="587"/>
                <w:tab w:val="left" w:pos="588"/>
              </w:tabs>
              <w:spacing w:before="0"/>
              <w:ind w:right="244"/>
              <w:rPr>
                <w:sz w:val="20"/>
              </w:rPr>
            </w:pPr>
            <w:r>
              <w:rPr>
                <w:sz w:val="20"/>
              </w:rPr>
              <w:t>What would an Indigenous Hub look like under NESP 2.0 (informed by the</w:t>
            </w:r>
            <w:r>
              <w:rPr>
                <w:spacing w:val="-15"/>
                <w:sz w:val="20"/>
              </w:rPr>
              <w:t xml:space="preserve"> </w:t>
            </w:r>
            <w:r>
              <w:rPr>
                <w:sz w:val="20"/>
              </w:rPr>
              <w:t>discussion paper see</w:t>
            </w:r>
            <w:r>
              <w:rPr>
                <w:spacing w:val="-2"/>
                <w:sz w:val="20"/>
              </w:rPr>
              <w:t xml:space="preserve"> </w:t>
            </w:r>
            <w:r>
              <w:rPr>
                <w:sz w:val="20"/>
              </w:rPr>
              <w:t>below)?</w:t>
            </w:r>
          </w:p>
          <w:p w14:paraId="776DCDA9" w14:textId="77777777" w:rsidR="00BD02DE" w:rsidRDefault="00B95B84">
            <w:pPr>
              <w:pStyle w:val="TableParagraph"/>
              <w:numPr>
                <w:ilvl w:val="0"/>
                <w:numId w:val="1"/>
              </w:numPr>
              <w:tabs>
                <w:tab w:val="left" w:pos="587"/>
                <w:tab w:val="left" w:pos="588"/>
              </w:tabs>
              <w:spacing w:before="0"/>
              <w:ind w:right="508"/>
              <w:rPr>
                <w:sz w:val="20"/>
              </w:rPr>
            </w:pPr>
            <w:r>
              <w:rPr>
                <w:sz w:val="20"/>
              </w:rPr>
              <w:t>How to develop Indigenous priorities</w:t>
            </w:r>
            <w:r>
              <w:rPr>
                <w:spacing w:val="-21"/>
                <w:sz w:val="20"/>
              </w:rPr>
              <w:t xml:space="preserve"> </w:t>
            </w:r>
            <w:r>
              <w:rPr>
                <w:sz w:val="20"/>
              </w:rPr>
              <w:t>for environmental</w:t>
            </w:r>
            <w:r>
              <w:rPr>
                <w:spacing w:val="-3"/>
                <w:sz w:val="20"/>
              </w:rPr>
              <w:t xml:space="preserve"> </w:t>
            </w:r>
            <w:r>
              <w:rPr>
                <w:sz w:val="20"/>
              </w:rPr>
              <w:t>research?</w:t>
            </w:r>
          </w:p>
        </w:tc>
      </w:tr>
      <w:tr w:rsidR="00BD02DE" w14:paraId="67A1E58C" w14:textId="77777777">
        <w:trPr>
          <w:trHeight w:val="1703"/>
        </w:trPr>
        <w:tc>
          <w:tcPr>
            <w:tcW w:w="2182" w:type="dxa"/>
          </w:tcPr>
          <w:p w14:paraId="70F69B11" w14:textId="77777777" w:rsidR="00BD02DE" w:rsidRPr="00B95B84" w:rsidRDefault="00B95B84">
            <w:pPr>
              <w:pStyle w:val="TableParagraph"/>
              <w:spacing w:before="81"/>
              <w:ind w:right="304"/>
              <w:rPr>
                <w:b/>
                <w:bCs/>
                <w:sz w:val="20"/>
              </w:rPr>
            </w:pPr>
            <w:r w:rsidRPr="00B95B84">
              <w:rPr>
                <w:b/>
                <w:bCs/>
                <w:sz w:val="20"/>
              </w:rPr>
              <w:t>Discussion paper outlining examples of successful Indigenous research initiatives</w:t>
            </w:r>
          </w:p>
        </w:tc>
        <w:tc>
          <w:tcPr>
            <w:tcW w:w="2492" w:type="dxa"/>
          </w:tcPr>
          <w:p w14:paraId="3FA7D9A8" w14:textId="77777777" w:rsidR="00BD02DE" w:rsidRDefault="00B95B84">
            <w:pPr>
              <w:pStyle w:val="TableParagraph"/>
              <w:spacing w:before="81"/>
              <w:ind w:right="378"/>
              <w:rPr>
                <w:sz w:val="20"/>
              </w:rPr>
            </w:pPr>
            <w:r>
              <w:rPr>
                <w:sz w:val="20"/>
              </w:rPr>
              <w:t>NESP Indigenous leaders and DoEE NESP team</w:t>
            </w:r>
          </w:p>
        </w:tc>
        <w:tc>
          <w:tcPr>
            <w:tcW w:w="4345" w:type="dxa"/>
          </w:tcPr>
          <w:p w14:paraId="2555CCE3" w14:textId="77777777" w:rsidR="00BD02DE" w:rsidRDefault="00B95B84">
            <w:pPr>
              <w:pStyle w:val="TableParagraph"/>
              <w:spacing w:before="81"/>
              <w:ind w:right="44"/>
              <w:rPr>
                <w:sz w:val="20"/>
              </w:rPr>
            </w:pPr>
            <w:r>
              <w:rPr>
                <w:sz w:val="20"/>
              </w:rPr>
              <w:t>Support preparation of a short discussion paper outlining examples of successful Indigenous research initiatives (e.g. New Zealand’s Deep South Science Challenge) to inform discussions about the design of an Indigenous Hub (see steps below).</w:t>
            </w:r>
          </w:p>
        </w:tc>
      </w:tr>
      <w:tr w:rsidR="00BD02DE" w14:paraId="5A7F9221" w14:textId="77777777">
        <w:trPr>
          <w:trHeight w:val="2193"/>
        </w:trPr>
        <w:tc>
          <w:tcPr>
            <w:tcW w:w="2182" w:type="dxa"/>
          </w:tcPr>
          <w:p w14:paraId="48F017D5" w14:textId="77777777" w:rsidR="00BD02DE" w:rsidRPr="00B95B84" w:rsidRDefault="00B95B84">
            <w:pPr>
              <w:pStyle w:val="TableParagraph"/>
              <w:spacing w:before="83"/>
              <w:ind w:right="126"/>
              <w:rPr>
                <w:b/>
                <w:bCs/>
                <w:sz w:val="20"/>
              </w:rPr>
            </w:pPr>
            <w:r w:rsidRPr="00B95B84">
              <w:rPr>
                <w:b/>
                <w:bCs/>
                <w:sz w:val="20"/>
              </w:rPr>
              <w:t>List of key Indigenous priorities for environmental research</w:t>
            </w:r>
          </w:p>
        </w:tc>
        <w:tc>
          <w:tcPr>
            <w:tcW w:w="2492" w:type="dxa"/>
          </w:tcPr>
          <w:p w14:paraId="3DCF1667" w14:textId="77777777" w:rsidR="00BD02DE" w:rsidRDefault="00B95B84">
            <w:pPr>
              <w:pStyle w:val="TableParagraph"/>
              <w:spacing w:before="83"/>
              <w:ind w:right="147"/>
              <w:rPr>
                <w:sz w:val="20"/>
              </w:rPr>
            </w:pPr>
            <w:r>
              <w:rPr>
                <w:i/>
                <w:sz w:val="20"/>
              </w:rPr>
              <w:t>Audience</w:t>
            </w:r>
            <w:r>
              <w:rPr>
                <w:sz w:val="20"/>
              </w:rPr>
              <w:t>: DoEE Executive and NESP team; Indigenous organisations/NGO’s</w:t>
            </w:r>
          </w:p>
        </w:tc>
        <w:tc>
          <w:tcPr>
            <w:tcW w:w="4345" w:type="dxa"/>
          </w:tcPr>
          <w:p w14:paraId="4C9B46F5" w14:textId="77777777" w:rsidR="00BD02DE" w:rsidRDefault="00B95B84">
            <w:pPr>
              <w:pStyle w:val="TableParagraph"/>
              <w:spacing w:before="83"/>
              <w:rPr>
                <w:sz w:val="20"/>
              </w:rPr>
            </w:pPr>
            <w:r>
              <w:rPr>
                <w:sz w:val="20"/>
              </w:rPr>
              <w:t>Implement the process agreed above to develop a list of key Indigenous research priorities for environmental research that will be in place before NESP 2 starts.</w:t>
            </w:r>
          </w:p>
          <w:p w14:paraId="7BFE012A" w14:textId="77777777" w:rsidR="00BD02DE" w:rsidRDefault="00B95B84">
            <w:pPr>
              <w:pStyle w:val="TableParagraph"/>
              <w:spacing w:before="79"/>
              <w:ind w:right="44"/>
              <w:rPr>
                <w:sz w:val="20"/>
              </w:rPr>
            </w:pPr>
            <w:r>
              <w:rPr>
                <w:sz w:val="20"/>
              </w:rPr>
              <w:t>This could build on the existing work on Indigenous priorities for climate change (ESCC Hub) and broaden to other environmental priorities in both the north and the south of Australia.</w:t>
            </w:r>
          </w:p>
        </w:tc>
      </w:tr>
      <w:tr w:rsidR="00BD02DE" w14:paraId="0525ED48" w14:textId="77777777">
        <w:trPr>
          <w:trHeight w:val="1461"/>
        </w:trPr>
        <w:tc>
          <w:tcPr>
            <w:tcW w:w="2182" w:type="dxa"/>
          </w:tcPr>
          <w:p w14:paraId="6B15EF27" w14:textId="77777777" w:rsidR="00BD02DE" w:rsidRPr="00B95B84" w:rsidRDefault="00B95B84">
            <w:pPr>
              <w:pStyle w:val="TableParagraph"/>
              <w:spacing w:before="83"/>
              <w:ind w:right="87"/>
              <w:rPr>
                <w:b/>
                <w:bCs/>
                <w:sz w:val="20"/>
              </w:rPr>
            </w:pPr>
            <w:r w:rsidRPr="00B95B84">
              <w:rPr>
                <w:b/>
                <w:bCs/>
                <w:sz w:val="20"/>
              </w:rPr>
              <w:t>Publication on designing large research funding programs that support Indigenous engagement</w:t>
            </w:r>
          </w:p>
        </w:tc>
        <w:tc>
          <w:tcPr>
            <w:tcW w:w="2492" w:type="dxa"/>
          </w:tcPr>
          <w:p w14:paraId="43848BFA" w14:textId="77777777" w:rsidR="00BD02DE" w:rsidRDefault="00B95B84">
            <w:pPr>
              <w:pStyle w:val="TableParagraph"/>
              <w:spacing w:before="83"/>
              <w:ind w:right="338"/>
              <w:rPr>
                <w:sz w:val="20"/>
              </w:rPr>
            </w:pPr>
            <w:r>
              <w:rPr>
                <w:sz w:val="20"/>
              </w:rPr>
              <w:t>DoEE and other research funders, academic peers.</w:t>
            </w:r>
          </w:p>
        </w:tc>
        <w:tc>
          <w:tcPr>
            <w:tcW w:w="4345" w:type="dxa"/>
          </w:tcPr>
          <w:p w14:paraId="4EFAC35F" w14:textId="77777777" w:rsidR="00BD02DE" w:rsidRDefault="00B95B84">
            <w:pPr>
              <w:pStyle w:val="TableParagraph"/>
              <w:spacing w:before="83"/>
              <w:ind w:right="182"/>
              <w:rPr>
                <w:sz w:val="20"/>
              </w:rPr>
            </w:pPr>
            <w:r>
              <w:rPr>
                <w:sz w:val="20"/>
              </w:rPr>
              <w:t>Hold a workshop to consider lessons from CERF, NERP, NESP. This could be done in Canberra or could be linked to the writing workshop proposed for Topic 1.</w:t>
            </w:r>
          </w:p>
        </w:tc>
      </w:tr>
    </w:tbl>
    <w:p w14:paraId="1B0C8780" w14:textId="77777777" w:rsidR="000A1AE1" w:rsidRDefault="000A1AE1"/>
    <w:sectPr w:rsidR="000A1AE1">
      <w:pgSz w:w="11910" w:h="16840"/>
      <w:pgMar w:top="1420" w:right="1320" w:bottom="1260" w:left="130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F6AD3" w14:textId="77777777" w:rsidR="00462B8B" w:rsidRDefault="00462B8B">
      <w:r>
        <w:separator/>
      </w:r>
    </w:p>
  </w:endnote>
  <w:endnote w:type="continuationSeparator" w:id="0">
    <w:p w14:paraId="18805909" w14:textId="77777777" w:rsidR="00462B8B" w:rsidRDefault="0046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77DEA" w14:textId="77777777" w:rsidR="00BD02DE" w:rsidRDefault="00B95B84">
    <w:pPr>
      <w:pStyle w:val="BodyText"/>
      <w:spacing w:line="14" w:lineRule="auto"/>
      <w:rPr>
        <w:sz w:val="20"/>
      </w:rPr>
    </w:pPr>
    <w:r>
      <w:rPr>
        <w:noProof/>
      </w:rPr>
      <w:drawing>
        <wp:anchor distT="0" distB="0" distL="0" distR="0" simplePos="0" relativeHeight="251657216" behindDoc="1" locked="0" layoutInCell="1" allowOverlap="1" wp14:anchorId="239D1E75" wp14:editId="5DA62CFE">
          <wp:simplePos x="0" y="0"/>
          <wp:positionH relativeFrom="page">
            <wp:posOffset>3512282</wp:posOffset>
          </wp:positionH>
          <wp:positionV relativeFrom="page">
            <wp:posOffset>10023746</wp:posOffset>
          </wp:positionV>
          <wp:extent cx="526219" cy="2124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26219" cy="212487"/>
                  </a:xfrm>
                  <a:prstGeom prst="rect">
                    <a:avLst/>
                  </a:prstGeom>
                </pic:spPr>
              </pic:pic>
            </a:graphicData>
          </a:graphic>
        </wp:anchor>
      </w:drawing>
    </w:r>
    <w:r w:rsidR="00462B8B">
      <w:pict w14:anchorId="4B18F8D8">
        <v:shapetype id="_x0000_t202" coordsize="21600,21600" o:spt="202" path="m,l,21600r21600,l21600,xe">
          <v:stroke joinstyle="miter"/>
          <v:path gradientshapeok="t" o:connecttype="rect"/>
        </v:shapetype>
        <v:shape id="_x0000_s2049" type="#_x0000_t202" style="position:absolute;margin-left:288.55pt;margin-top:777.65pt;width:18.25pt;height:10.05pt;z-index:-251658240;mso-position-horizontal-relative:page;mso-position-vertical-relative:page" filled="f" stroked="f">
          <v:textbox inset="0,0,0,0">
            <w:txbxContent>
              <w:p w14:paraId="180F57E1" w14:textId="77777777" w:rsidR="00BD02DE" w:rsidRDefault="00B95B84">
                <w:pPr>
                  <w:spacing w:line="184" w:lineRule="exact"/>
                  <w:ind w:left="60"/>
                  <w:rPr>
                    <w:rFonts w:ascii="Calibri"/>
                    <w:b/>
                    <w:sz w:val="16"/>
                  </w:rPr>
                </w:pPr>
                <w:r>
                  <w:fldChar w:fldCharType="begin"/>
                </w:r>
                <w:r>
                  <w:rPr>
                    <w:rFonts w:ascii="Calibri"/>
                    <w:b/>
                    <w:color w:val="7E7E7E"/>
                    <w:sz w:val="16"/>
                  </w:rPr>
                  <w:instrText xml:space="preserve"> PAGE </w:instrText>
                </w:r>
                <w:r>
                  <w:fldChar w:fldCharType="separate"/>
                </w:r>
                <w:r>
                  <w:t>189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16C32" w14:textId="77777777" w:rsidR="00462B8B" w:rsidRDefault="00462B8B">
      <w:r>
        <w:separator/>
      </w:r>
    </w:p>
  </w:footnote>
  <w:footnote w:type="continuationSeparator" w:id="0">
    <w:p w14:paraId="29928E67" w14:textId="77777777" w:rsidR="00462B8B" w:rsidRDefault="00462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913CE4"/>
    <w:multiLevelType w:val="hybridMultilevel"/>
    <w:tmpl w:val="5B0C336E"/>
    <w:lvl w:ilvl="0" w:tplc="8DD00098">
      <w:numFmt w:val="bullet"/>
      <w:lvlText w:val="–"/>
      <w:lvlJc w:val="left"/>
      <w:pPr>
        <w:ind w:left="587" w:hanging="360"/>
      </w:pPr>
      <w:rPr>
        <w:rFonts w:ascii="Segoe UI Symbol" w:eastAsia="Segoe UI Symbol" w:hAnsi="Segoe UI Symbol" w:cs="Segoe UI Symbol" w:hint="default"/>
        <w:w w:val="100"/>
        <w:sz w:val="22"/>
        <w:szCs w:val="22"/>
        <w:lang w:val="en-AU" w:eastAsia="en-US" w:bidi="ar-SA"/>
      </w:rPr>
    </w:lvl>
    <w:lvl w:ilvl="1" w:tplc="2B2C9502">
      <w:numFmt w:val="bullet"/>
      <w:lvlText w:val="•"/>
      <w:lvlJc w:val="left"/>
      <w:pPr>
        <w:ind w:left="955" w:hanging="360"/>
      </w:pPr>
      <w:rPr>
        <w:rFonts w:hint="default"/>
        <w:lang w:val="en-AU" w:eastAsia="en-US" w:bidi="ar-SA"/>
      </w:rPr>
    </w:lvl>
    <w:lvl w:ilvl="2" w:tplc="14D82866">
      <w:numFmt w:val="bullet"/>
      <w:lvlText w:val="•"/>
      <w:lvlJc w:val="left"/>
      <w:pPr>
        <w:ind w:left="1331" w:hanging="360"/>
      </w:pPr>
      <w:rPr>
        <w:rFonts w:hint="default"/>
        <w:lang w:val="en-AU" w:eastAsia="en-US" w:bidi="ar-SA"/>
      </w:rPr>
    </w:lvl>
    <w:lvl w:ilvl="3" w:tplc="186E8724">
      <w:numFmt w:val="bullet"/>
      <w:lvlText w:val="•"/>
      <w:lvlJc w:val="left"/>
      <w:pPr>
        <w:ind w:left="1706" w:hanging="360"/>
      </w:pPr>
      <w:rPr>
        <w:rFonts w:hint="default"/>
        <w:lang w:val="en-AU" w:eastAsia="en-US" w:bidi="ar-SA"/>
      </w:rPr>
    </w:lvl>
    <w:lvl w:ilvl="4" w:tplc="089C9B14">
      <w:numFmt w:val="bullet"/>
      <w:lvlText w:val="•"/>
      <w:lvlJc w:val="left"/>
      <w:pPr>
        <w:ind w:left="2082" w:hanging="360"/>
      </w:pPr>
      <w:rPr>
        <w:rFonts w:hint="default"/>
        <w:lang w:val="en-AU" w:eastAsia="en-US" w:bidi="ar-SA"/>
      </w:rPr>
    </w:lvl>
    <w:lvl w:ilvl="5" w:tplc="F09C4EB2">
      <w:numFmt w:val="bullet"/>
      <w:lvlText w:val="•"/>
      <w:lvlJc w:val="left"/>
      <w:pPr>
        <w:ind w:left="2457" w:hanging="360"/>
      </w:pPr>
      <w:rPr>
        <w:rFonts w:hint="default"/>
        <w:lang w:val="en-AU" w:eastAsia="en-US" w:bidi="ar-SA"/>
      </w:rPr>
    </w:lvl>
    <w:lvl w:ilvl="6" w:tplc="7D0CAB94">
      <w:numFmt w:val="bullet"/>
      <w:lvlText w:val="•"/>
      <w:lvlJc w:val="left"/>
      <w:pPr>
        <w:ind w:left="2833" w:hanging="360"/>
      </w:pPr>
      <w:rPr>
        <w:rFonts w:hint="default"/>
        <w:lang w:val="en-AU" w:eastAsia="en-US" w:bidi="ar-SA"/>
      </w:rPr>
    </w:lvl>
    <w:lvl w:ilvl="7" w:tplc="F3BE3F64">
      <w:numFmt w:val="bullet"/>
      <w:lvlText w:val="•"/>
      <w:lvlJc w:val="left"/>
      <w:pPr>
        <w:ind w:left="3208" w:hanging="360"/>
      </w:pPr>
      <w:rPr>
        <w:rFonts w:hint="default"/>
        <w:lang w:val="en-AU" w:eastAsia="en-US" w:bidi="ar-SA"/>
      </w:rPr>
    </w:lvl>
    <w:lvl w:ilvl="8" w:tplc="64C69B34">
      <w:numFmt w:val="bullet"/>
      <w:lvlText w:val="•"/>
      <w:lvlJc w:val="left"/>
      <w:pPr>
        <w:ind w:left="3584" w:hanging="360"/>
      </w:pPr>
      <w:rPr>
        <w:rFonts w:hint="default"/>
        <w:lang w:val="en-AU" w:eastAsia="en-US" w:bidi="ar-SA"/>
      </w:rPr>
    </w:lvl>
  </w:abstractNum>
  <w:abstractNum w:abstractNumId="1" w15:restartNumberingAfterBreak="0">
    <w:nsid w:val="5348252E"/>
    <w:multiLevelType w:val="hybridMultilevel"/>
    <w:tmpl w:val="06BE1F4A"/>
    <w:lvl w:ilvl="0" w:tplc="DB5E550C">
      <w:start w:val="1"/>
      <w:numFmt w:val="decimal"/>
      <w:lvlText w:val="%1."/>
      <w:lvlJc w:val="left"/>
      <w:pPr>
        <w:ind w:left="140" w:hanging="255"/>
        <w:jc w:val="left"/>
      </w:pPr>
      <w:rPr>
        <w:rFonts w:ascii="Calibri Light" w:eastAsia="Calibri Light" w:hAnsi="Calibri Light" w:cs="Calibri Light" w:hint="default"/>
        <w:color w:val="76B800"/>
        <w:spacing w:val="0"/>
        <w:w w:val="99"/>
        <w:sz w:val="26"/>
        <w:szCs w:val="26"/>
        <w:lang w:val="en-AU" w:eastAsia="en-US" w:bidi="ar-SA"/>
      </w:rPr>
    </w:lvl>
    <w:lvl w:ilvl="1" w:tplc="2FBA4F6E">
      <w:numFmt w:val="bullet"/>
      <w:lvlText w:val="•"/>
      <w:lvlJc w:val="left"/>
      <w:pPr>
        <w:ind w:left="1054" w:hanging="255"/>
      </w:pPr>
      <w:rPr>
        <w:rFonts w:hint="default"/>
        <w:lang w:val="en-AU" w:eastAsia="en-US" w:bidi="ar-SA"/>
      </w:rPr>
    </w:lvl>
    <w:lvl w:ilvl="2" w:tplc="9126C1A6">
      <w:numFmt w:val="bullet"/>
      <w:lvlText w:val="•"/>
      <w:lvlJc w:val="left"/>
      <w:pPr>
        <w:ind w:left="1969" w:hanging="255"/>
      </w:pPr>
      <w:rPr>
        <w:rFonts w:hint="default"/>
        <w:lang w:val="en-AU" w:eastAsia="en-US" w:bidi="ar-SA"/>
      </w:rPr>
    </w:lvl>
    <w:lvl w:ilvl="3" w:tplc="AB7091D0">
      <w:numFmt w:val="bullet"/>
      <w:lvlText w:val="•"/>
      <w:lvlJc w:val="left"/>
      <w:pPr>
        <w:ind w:left="2883" w:hanging="255"/>
      </w:pPr>
      <w:rPr>
        <w:rFonts w:hint="default"/>
        <w:lang w:val="en-AU" w:eastAsia="en-US" w:bidi="ar-SA"/>
      </w:rPr>
    </w:lvl>
    <w:lvl w:ilvl="4" w:tplc="733898A0">
      <w:numFmt w:val="bullet"/>
      <w:lvlText w:val="•"/>
      <w:lvlJc w:val="left"/>
      <w:pPr>
        <w:ind w:left="3798" w:hanging="255"/>
      </w:pPr>
      <w:rPr>
        <w:rFonts w:hint="default"/>
        <w:lang w:val="en-AU" w:eastAsia="en-US" w:bidi="ar-SA"/>
      </w:rPr>
    </w:lvl>
    <w:lvl w:ilvl="5" w:tplc="CEB22A22">
      <w:numFmt w:val="bullet"/>
      <w:lvlText w:val="•"/>
      <w:lvlJc w:val="left"/>
      <w:pPr>
        <w:ind w:left="4713" w:hanging="255"/>
      </w:pPr>
      <w:rPr>
        <w:rFonts w:hint="default"/>
        <w:lang w:val="en-AU" w:eastAsia="en-US" w:bidi="ar-SA"/>
      </w:rPr>
    </w:lvl>
    <w:lvl w:ilvl="6" w:tplc="D61A6006">
      <w:numFmt w:val="bullet"/>
      <w:lvlText w:val="•"/>
      <w:lvlJc w:val="left"/>
      <w:pPr>
        <w:ind w:left="5627" w:hanging="255"/>
      </w:pPr>
      <w:rPr>
        <w:rFonts w:hint="default"/>
        <w:lang w:val="en-AU" w:eastAsia="en-US" w:bidi="ar-SA"/>
      </w:rPr>
    </w:lvl>
    <w:lvl w:ilvl="7" w:tplc="4FDC0B3E">
      <w:numFmt w:val="bullet"/>
      <w:lvlText w:val="•"/>
      <w:lvlJc w:val="left"/>
      <w:pPr>
        <w:ind w:left="6542" w:hanging="255"/>
      </w:pPr>
      <w:rPr>
        <w:rFonts w:hint="default"/>
        <w:lang w:val="en-AU" w:eastAsia="en-US" w:bidi="ar-SA"/>
      </w:rPr>
    </w:lvl>
    <w:lvl w:ilvl="8" w:tplc="A3509C82">
      <w:numFmt w:val="bullet"/>
      <w:lvlText w:val="•"/>
      <w:lvlJc w:val="left"/>
      <w:pPr>
        <w:ind w:left="7457" w:hanging="255"/>
      </w:pPr>
      <w:rPr>
        <w:rFonts w:hint="default"/>
        <w:lang w:val="en-A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D02DE"/>
    <w:rsid w:val="000A1AE1"/>
    <w:rsid w:val="00462B8B"/>
    <w:rsid w:val="00AE22F1"/>
    <w:rsid w:val="00B95B84"/>
    <w:rsid w:val="00BD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F9A08A"/>
  <w15:docId w15:val="{E111E4A9-7FF0-4A78-842C-E5E006BE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AU"/>
    </w:rPr>
  </w:style>
  <w:style w:type="paragraph" w:styleId="Heading1">
    <w:name w:val="heading 1"/>
    <w:basedOn w:val="Normal"/>
    <w:uiPriority w:val="9"/>
    <w:qFormat/>
    <w:pPr>
      <w:spacing w:before="47"/>
      <w:ind w:left="140" w:hanging="258"/>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140"/>
    </w:pPr>
    <w:rPr>
      <w:rFonts w:ascii="Calibri" w:eastAsia="Calibri" w:hAnsi="Calibri" w:cs="Calibri"/>
      <w:sz w:val="56"/>
      <w:szCs w:val="56"/>
    </w:rPr>
  </w:style>
  <w:style w:type="paragraph" w:styleId="ListParagraph">
    <w:name w:val="List Paragraph"/>
    <w:basedOn w:val="Normal"/>
    <w:uiPriority w:val="1"/>
    <w:qFormat/>
    <w:pPr>
      <w:spacing w:before="47"/>
      <w:ind w:left="140" w:hanging="258"/>
    </w:pPr>
  </w:style>
  <w:style w:type="paragraph" w:customStyle="1" w:styleId="TableParagraph">
    <w:name w:val="Table Paragraph"/>
    <w:basedOn w:val="Normal"/>
    <w:uiPriority w:val="1"/>
    <w:qFormat/>
    <w:pPr>
      <w:spacing w:before="80"/>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1233</Words>
  <Characters>7034</Characters>
  <Application>Microsoft Office Word</Application>
  <DocSecurity>0</DocSecurity>
  <Lines>58</Lines>
  <Paragraphs>16</Paragraphs>
  <ScaleCrop>false</ScaleCrop>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 Wensing</cp:lastModifiedBy>
  <cp:revision>3</cp:revision>
  <dcterms:created xsi:type="dcterms:W3CDTF">2021-01-20T23:42:00Z</dcterms:created>
  <dcterms:modified xsi:type="dcterms:W3CDTF">2021-01-21T10:38:00Z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Microsoft 365</vt:lpwstr>
  </property>
  <property fmtid="{D5CDD505-2E9C-101B-9397-08002B2CF9AE}" pid="4" name="LastSaved">
    <vt:filetime>2021-01-20T00:00:00Z</vt:filetime>
  </property>
</Properties>
</file>