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D6F85" w14:textId="77777777" w:rsidR="00014A44" w:rsidRDefault="00345AF3">
      <w:pPr>
        <w:pStyle w:val="Title"/>
        <w:spacing w:line="645" w:lineRule="exact"/>
      </w:pPr>
      <w:r>
        <w:rPr>
          <w:color w:val="7E7E7E"/>
        </w:rPr>
        <w:t>APPENDIX E: NESP HUB RESEARCH</w:t>
      </w:r>
    </w:p>
    <w:p w14:paraId="1BAC0DF8" w14:textId="77777777" w:rsidR="00014A44" w:rsidRDefault="00345AF3">
      <w:pPr>
        <w:pStyle w:val="Title"/>
        <w:ind w:right="560"/>
      </w:pPr>
      <w:r>
        <w:rPr>
          <w:color w:val="7E7E7E"/>
        </w:rPr>
        <w:t>PROJECTS BY DETAILS OF ‘INDIGENOUS LED’</w:t>
      </w:r>
    </w:p>
    <w:p w14:paraId="32A0B5F7" w14:textId="77777777" w:rsidR="00014A44" w:rsidRDefault="00345AF3">
      <w:pPr>
        <w:pStyle w:val="BodyText"/>
        <w:spacing w:before="7"/>
        <w:rPr>
          <w:rFonts w:ascii="Calibri"/>
          <w:sz w:val="16"/>
        </w:rPr>
      </w:pPr>
      <w:r>
        <w:pict w14:anchorId="24639E65">
          <v:rect id="_x0000_s1026" style="position:absolute;margin-left:70.6pt;margin-top:12.1pt;width:454.25pt;height:.95pt;z-index:-251658752;mso-wrap-distance-left:0;mso-wrap-distance-right:0;mso-position-horizontal-relative:page" fillcolor="#92c753" stroked="f">
            <w10:wrap type="topAndBottom" anchorx="page"/>
          </v:rect>
        </w:pict>
      </w:r>
    </w:p>
    <w:p w14:paraId="5A719A86" w14:textId="77777777" w:rsidR="00014A44" w:rsidRDefault="00014A44">
      <w:pPr>
        <w:pStyle w:val="BodyText"/>
        <w:rPr>
          <w:rFonts w:ascii="Calibri"/>
          <w:sz w:val="20"/>
        </w:rPr>
      </w:pPr>
    </w:p>
    <w:p w14:paraId="5341DFB2" w14:textId="77777777" w:rsidR="00014A44" w:rsidRDefault="00014A44">
      <w:pPr>
        <w:pStyle w:val="BodyText"/>
        <w:rPr>
          <w:rFonts w:ascii="Calibri"/>
          <w:sz w:val="20"/>
        </w:rPr>
      </w:pPr>
    </w:p>
    <w:p w14:paraId="212F816A" w14:textId="77777777" w:rsidR="00014A44" w:rsidRDefault="00014A44">
      <w:pPr>
        <w:pStyle w:val="BodyText"/>
        <w:rPr>
          <w:rFonts w:ascii="Calibri"/>
          <w:sz w:val="20"/>
        </w:rPr>
      </w:pPr>
    </w:p>
    <w:p w14:paraId="36847981" w14:textId="77777777" w:rsidR="00014A44" w:rsidRDefault="00014A44">
      <w:pPr>
        <w:pStyle w:val="BodyText"/>
        <w:rPr>
          <w:rFonts w:ascii="Calibri"/>
          <w:sz w:val="20"/>
        </w:rPr>
      </w:pPr>
    </w:p>
    <w:p w14:paraId="133613F8" w14:textId="77777777" w:rsidR="00014A44" w:rsidRDefault="00014A44">
      <w:pPr>
        <w:pStyle w:val="BodyText"/>
        <w:rPr>
          <w:rFonts w:ascii="Calibri"/>
          <w:sz w:val="20"/>
        </w:rPr>
      </w:pPr>
    </w:p>
    <w:p w14:paraId="1CA8DD39" w14:textId="77777777" w:rsidR="00014A44" w:rsidRDefault="00014A44">
      <w:pPr>
        <w:pStyle w:val="BodyText"/>
        <w:rPr>
          <w:rFonts w:ascii="Calibri"/>
          <w:sz w:val="20"/>
        </w:rPr>
      </w:pPr>
    </w:p>
    <w:p w14:paraId="153B9C2A" w14:textId="77777777" w:rsidR="00014A44" w:rsidRDefault="00014A44">
      <w:pPr>
        <w:pStyle w:val="BodyText"/>
        <w:spacing w:before="4"/>
        <w:rPr>
          <w:rFonts w:ascii="Calibri"/>
          <w:sz w:val="19"/>
        </w:rPr>
      </w:pPr>
    </w:p>
    <w:p w14:paraId="2AE2C389" w14:textId="77777777" w:rsidR="00014A44" w:rsidRDefault="00345AF3">
      <w:pPr>
        <w:pStyle w:val="BodyText"/>
        <w:ind w:left="140" w:right="560"/>
      </w:pPr>
      <w:r>
        <w:t>The following NESP Hub research projects were identified by SGSEP as being ‘Indigenous led’. The details were extracted from information provided by the respective Hubs on the nature or level of Indigenous involvement in the project.</w:t>
      </w:r>
    </w:p>
    <w:p w14:paraId="58743529" w14:textId="77777777" w:rsidR="00014A44" w:rsidRDefault="00014A44">
      <w:pPr>
        <w:pStyle w:val="BodyText"/>
        <w:spacing w:before="10"/>
        <w:rPr>
          <w:sz w:val="9"/>
        </w:rPr>
      </w:pPr>
    </w:p>
    <w:tbl>
      <w:tblPr>
        <w:tblW w:w="0" w:type="auto"/>
        <w:tblInd w:w="15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852"/>
        <w:gridCol w:w="2741"/>
        <w:gridCol w:w="5758"/>
      </w:tblGrid>
      <w:tr w:rsidR="00014A44" w14:paraId="4CC0BB1C" w14:textId="77777777">
        <w:trPr>
          <w:trHeight w:val="726"/>
        </w:trPr>
        <w:tc>
          <w:tcPr>
            <w:tcW w:w="852" w:type="dxa"/>
            <w:shd w:val="clear" w:color="auto" w:fill="E7FFBD"/>
          </w:tcPr>
          <w:p w14:paraId="7D28504A" w14:textId="77777777" w:rsidR="00014A44" w:rsidRPr="00345AF3" w:rsidRDefault="00345AF3">
            <w:pPr>
              <w:pStyle w:val="TableParagraph"/>
              <w:spacing w:before="121"/>
              <w:ind w:left="215"/>
              <w:rPr>
                <w:b/>
                <w:bCs/>
                <w:sz w:val="20"/>
              </w:rPr>
            </w:pPr>
            <w:r w:rsidRPr="00345AF3">
              <w:rPr>
                <w:b/>
                <w:bCs/>
                <w:sz w:val="20"/>
              </w:rPr>
              <w:t>NESP</w:t>
            </w:r>
          </w:p>
          <w:p w14:paraId="0E9D2464" w14:textId="77777777" w:rsidR="00014A44" w:rsidRPr="00345AF3" w:rsidRDefault="00345AF3">
            <w:pPr>
              <w:pStyle w:val="TableParagraph"/>
              <w:spacing w:before="1"/>
              <w:ind w:left="259"/>
              <w:rPr>
                <w:b/>
                <w:bCs/>
                <w:sz w:val="20"/>
              </w:rPr>
            </w:pPr>
            <w:r w:rsidRPr="00345AF3">
              <w:rPr>
                <w:b/>
                <w:bCs/>
                <w:sz w:val="20"/>
              </w:rPr>
              <w:t>Hub</w:t>
            </w:r>
          </w:p>
        </w:tc>
        <w:tc>
          <w:tcPr>
            <w:tcW w:w="2741" w:type="dxa"/>
            <w:shd w:val="clear" w:color="auto" w:fill="E7FFBD"/>
          </w:tcPr>
          <w:p w14:paraId="3D89CD65" w14:textId="77777777" w:rsidR="00014A44" w:rsidRPr="00345AF3" w:rsidRDefault="00014A44">
            <w:pPr>
              <w:pStyle w:val="TableParagraph"/>
              <w:spacing w:before="11"/>
              <w:ind w:left="0"/>
              <w:rPr>
                <w:b/>
                <w:bCs/>
                <w:sz w:val="19"/>
              </w:rPr>
            </w:pPr>
          </w:p>
          <w:p w14:paraId="6A9976F4" w14:textId="77777777" w:rsidR="00014A44" w:rsidRPr="00345AF3" w:rsidRDefault="00345AF3">
            <w:pPr>
              <w:pStyle w:val="TableParagraph"/>
              <w:spacing w:before="1"/>
              <w:rPr>
                <w:b/>
                <w:bCs/>
                <w:sz w:val="20"/>
              </w:rPr>
            </w:pPr>
            <w:r w:rsidRPr="00345AF3">
              <w:rPr>
                <w:b/>
                <w:bCs/>
                <w:sz w:val="20"/>
              </w:rPr>
              <w:t>Project No.</w:t>
            </w:r>
          </w:p>
        </w:tc>
        <w:tc>
          <w:tcPr>
            <w:tcW w:w="5758" w:type="dxa"/>
            <w:shd w:val="clear" w:color="auto" w:fill="E7FFBD"/>
          </w:tcPr>
          <w:p w14:paraId="1C7551A0" w14:textId="77777777" w:rsidR="00014A44" w:rsidRPr="00345AF3" w:rsidRDefault="00014A44">
            <w:pPr>
              <w:pStyle w:val="TableParagraph"/>
              <w:spacing w:before="11"/>
              <w:ind w:left="0"/>
              <w:rPr>
                <w:b/>
                <w:bCs/>
                <w:sz w:val="19"/>
              </w:rPr>
            </w:pPr>
          </w:p>
          <w:p w14:paraId="5BC91894" w14:textId="77777777" w:rsidR="00014A44" w:rsidRPr="00345AF3" w:rsidRDefault="00345AF3">
            <w:pPr>
              <w:pStyle w:val="TableParagraph"/>
              <w:spacing w:before="1"/>
              <w:ind w:left="108"/>
              <w:rPr>
                <w:b/>
                <w:bCs/>
                <w:sz w:val="20"/>
              </w:rPr>
            </w:pPr>
            <w:r w:rsidRPr="00345AF3">
              <w:rPr>
                <w:b/>
                <w:bCs/>
                <w:sz w:val="20"/>
              </w:rPr>
              <w:t>Details of ‘Indigenous led’</w:t>
            </w:r>
          </w:p>
        </w:tc>
      </w:tr>
      <w:tr w:rsidR="00014A44" w14:paraId="09C49B23" w14:textId="77777777">
        <w:trPr>
          <w:trHeight w:val="460"/>
        </w:trPr>
        <w:tc>
          <w:tcPr>
            <w:tcW w:w="9351" w:type="dxa"/>
            <w:gridSpan w:val="3"/>
            <w:shd w:val="clear" w:color="auto" w:fill="E7FFBD"/>
          </w:tcPr>
          <w:p w14:paraId="18D6F6BE" w14:textId="77777777" w:rsidR="00014A44" w:rsidRPr="00345AF3" w:rsidRDefault="00345AF3">
            <w:pPr>
              <w:pStyle w:val="TableParagraph"/>
              <w:spacing w:before="121"/>
              <w:rPr>
                <w:b/>
                <w:bCs/>
                <w:sz w:val="18"/>
              </w:rPr>
            </w:pPr>
            <w:r w:rsidRPr="00345AF3">
              <w:rPr>
                <w:b/>
                <w:bCs/>
                <w:sz w:val="18"/>
              </w:rPr>
              <w:t>CAUL</w:t>
            </w:r>
          </w:p>
        </w:tc>
      </w:tr>
      <w:tr w:rsidR="00014A44" w14:paraId="29B432BC" w14:textId="77777777">
        <w:trPr>
          <w:trHeight w:val="1398"/>
        </w:trPr>
        <w:tc>
          <w:tcPr>
            <w:tcW w:w="852" w:type="dxa"/>
            <w:vMerge w:val="restart"/>
          </w:tcPr>
          <w:p w14:paraId="56804576" w14:textId="77777777" w:rsidR="00014A44" w:rsidRDefault="00014A44">
            <w:pPr>
              <w:pStyle w:val="TableParagraph"/>
              <w:spacing w:before="0"/>
              <w:ind w:left="0"/>
              <w:rPr>
                <w:rFonts w:ascii="Times New Roman"/>
                <w:sz w:val="18"/>
              </w:rPr>
            </w:pPr>
          </w:p>
        </w:tc>
        <w:tc>
          <w:tcPr>
            <w:tcW w:w="2741" w:type="dxa"/>
          </w:tcPr>
          <w:p w14:paraId="11F59F1B" w14:textId="77777777" w:rsidR="00014A44" w:rsidRDefault="00345AF3">
            <w:pPr>
              <w:pStyle w:val="TableParagraph"/>
              <w:ind w:right="249"/>
              <w:rPr>
                <w:sz w:val="18"/>
              </w:rPr>
            </w:pPr>
            <w:r w:rsidRPr="00345AF3">
              <w:rPr>
                <w:b/>
                <w:bCs/>
                <w:sz w:val="18"/>
              </w:rPr>
              <w:t>3.13</w:t>
            </w:r>
            <w:r>
              <w:rPr>
                <w:sz w:val="18"/>
              </w:rPr>
              <w:t xml:space="preserve"> Indigenous Noongar perspectives in city planning and urban Nature</w:t>
            </w:r>
          </w:p>
        </w:tc>
        <w:tc>
          <w:tcPr>
            <w:tcW w:w="5758" w:type="dxa"/>
          </w:tcPr>
          <w:p w14:paraId="16E57D1E" w14:textId="77777777" w:rsidR="00014A44" w:rsidRDefault="00345AF3">
            <w:pPr>
              <w:pStyle w:val="TableParagraph"/>
              <w:ind w:left="108"/>
              <w:rPr>
                <w:sz w:val="18"/>
              </w:rPr>
            </w:pPr>
            <w:r>
              <w:rPr>
                <w:sz w:val="18"/>
              </w:rPr>
              <w:t>CAUL Hub held a meeting with Noongar leaders to discuss what</w:t>
            </w:r>
          </w:p>
          <w:p w14:paraId="7CFDA51D" w14:textId="77777777" w:rsidR="00014A44" w:rsidRDefault="00345AF3">
            <w:pPr>
              <w:pStyle w:val="TableParagraph"/>
              <w:spacing w:before="1"/>
              <w:ind w:left="108" w:right="100"/>
              <w:rPr>
                <w:sz w:val="18"/>
              </w:rPr>
            </w:pPr>
            <w:r>
              <w:rPr>
                <w:sz w:val="18"/>
              </w:rPr>
              <w:t>collaborative projects could be undertaken … that are considered useful from a Noongar perspective on city planning and urban nature. Using a Noongar-led approach, the project developed a proof-of-concept that brings Noongar and 'western' knowledge systems</w:t>
            </w:r>
            <w:r>
              <w:rPr>
                <w:sz w:val="18"/>
              </w:rPr>
              <w:t xml:space="preserve"> closer together in their shared responsibility of caring for Country in the Perth Area.</w:t>
            </w:r>
          </w:p>
        </w:tc>
      </w:tr>
      <w:tr w:rsidR="00014A44" w14:paraId="29F804DA" w14:textId="77777777">
        <w:trPr>
          <w:trHeight w:val="1838"/>
        </w:trPr>
        <w:tc>
          <w:tcPr>
            <w:tcW w:w="852" w:type="dxa"/>
            <w:vMerge/>
            <w:tcBorders>
              <w:top w:val="nil"/>
            </w:tcBorders>
          </w:tcPr>
          <w:p w14:paraId="010B310A" w14:textId="77777777" w:rsidR="00014A44" w:rsidRDefault="00014A44">
            <w:pPr>
              <w:rPr>
                <w:sz w:val="2"/>
                <w:szCs w:val="2"/>
              </w:rPr>
            </w:pPr>
          </w:p>
        </w:tc>
        <w:tc>
          <w:tcPr>
            <w:tcW w:w="2741" w:type="dxa"/>
          </w:tcPr>
          <w:p w14:paraId="2564FED6" w14:textId="77777777" w:rsidR="00014A44" w:rsidRDefault="00345AF3">
            <w:pPr>
              <w:pStyle w:val="TableParagraph"/>
              <w:spacing w:before="40"/>
              <w:rPr>
                <w:sz w:val="18"/>
              </w:rPr>
            </w:pPr>
            <w:r w:rsidRPr="00345AF3">
              <w:rPr>
                <w:b/>
                <w:bCs/>
                <w:sz w:val="18"/>
              </w:rPr>
              <w:t>5.2</w:t>
            </w:r>
            <w:r>
              <w:rPr>
                <w:sz w:val="18"/>
              </w:rPr>
              <w:t xml:space="preserve"> Bringing nature back into cities</w:t>
            </w:r>
          </w:p>
        </w:tc>
        <w:tc>
          <w:tcPr>
            <w:tcW w:w="5758" w:type="dxa"/>
          </w:tcPr>
          <w:p w14:paraId="2E91260B" w14:textId="77777777" w:rsidR="00014A44" w:rsidRDefault="00345AF3">
            <w:pPr>
              <w:pStyle w:val="TableParagraph"/>
              <w:spacing w:before="40"/>
              <w:ind w:left="108" w:right="119"/>
              <w:rPr>
                <w:sz w:val="18"/>
              </w:rPr>
            </w:pPr>
            <w:r>
              <w:rPr>
                <w:sz w:val="18"/>
              </w:rPr>
              <w:t xml:space="preserve">Originally conceived to be a paper and a decision-making tool authored by non-Indigenous people. IAG categorised as Category 1. </w:t>
            </w:r>
            <w:r>
              <w:rPr>
                <w:sz w:val="18"/>
              </w:rPr>
              <w:t>T</w:t>
            </w:r>
            <w:r>
              <w:rPr>
                <w:rFonts w:ascii="Calibri" w:hAnsi="Calibri"/>
                <w:sz w:val="18"/>
              </w:rPr>
              <w:t xml:space="preserve">he project </w:t>
            </w:r>
            <w:r>
              <w:rPr>
                <w:sz w:val="18"/>
              </w:rPr>
              <w:t>had Indigenous dimensions from the beginning, but the Indigenous Advisory Group advised it needed to be a ‘key component’, not just ‘a component’. It was established that the project needed the co-operation of Indigenous scholars and practition</w:t>
            </w:r>
            <w:r>
              <w:rPr>
                <w:sz w:val="18"/>
              </w:rPr>
              <w:t>ers to learn about and integrate Indigenous knowledge. Three Indigenous colleagues from CAUL Hub, including</w:t>
            </w:r>
          </w:p>
          <w:p w14:paraId="116D5239" w14:textId="77777777" w:rsidR="00014A44" w:rsidRDefault="00345AF3">
            <w:pPr>
              <w:pStyle w:val="TableParagraph"/>
              <w:spacing w:before="0"/>
              <w:ind w:left="108"/>
              <w:rPr>
                <w:sz w:val="18"/>
              </w:rPr>
            </w:pPr>
            <w:r>
              <w:rPr>
                <w:sz w:val="18"/>
              </w:rPr>
              <w:t>members of the hub’s Indigenous Advisory Group co-authored the paper.</w:t>
            </w:r>
          </w:p>
        </w:tc>
      </w:tr>
      <w:tr w:rsidR="00014A44" w14:paraId="4727FB3F" w14:textId="77777777">
        <w:trPr>
          <w:trHeight w:val="1617"/>
        </w:trPr>
        <w:tc>
          <w:tcPr>
            <w:tcW w:w="852" w:type="dxa"/>
            <w:vMerge/>
            <w:tcBorders>
              <w:top w:val="nil"/>
            </w:tcBorders>
          </w:tcPr>
          <w:p w14:paraId="2ADEDA81" w14:textId="77777777" w:rsidR="00014A44" w:rsidRDefault="00014A44">
            <w:pPr>
              <w:rPr>
                <w:sz w:val="2"/>
                <w:szCs w:val="2"/>
              </w:rPr>
            </w:pPr>
          </w:p>
        </w:tc>
        <w:tc>
          <w:tcPr>
            <w:tcW w:w="2741" w:type="dxa"/>
          </w:tcPr>
          <w:p w14:paraId="427144A4" w14:textId="77777777" w:rsidR="00014A44" w:rsidRDefault="00345AF3">
            <w:pPr>
              <w:pStyle w:val="TableParagraph"/>
              <w:ind w:right="369"/>
              <w:rPr>
                <w:sz w:val="18"/>
              </w:rPr>
            </w:pPr>
            <w:r w:rsidRPr="00345AF3">
              <w:rPr>
                <w:b/>
                <w:bCs/>
                <w:sz w:val="18"/>
              </w:rPr>
              <w:t>5.5</w:t>
            </w:r>
            <w:r>
              <w:rPr>
                <w:sz w:val="18"/>
              </w:rPr>
              <w:t xml:space="preserve"> Indigenous-led research on biodiversity in the city</w:t>
            </w:r>
          </w:p>
        </w:tc>
        <w:tc>
          <w:tcPr>
            <w:tcW w:w="5758" w:type="dxa"/>
          </w:tcPr>
          <w:p w14:paraId="0E632B80" w14:textId="77777777" w:rsidR="00014A44" w:rsidRDefault="00345AF3">
            <w:pPr>
              <w:pStyle w:val="TableParagraph"/>
              <w:ind w:left="108"/>
              <w:rPr>
                <w:sz w:val="18"/>
              </w:rPr>
            </w:pPr>
            <w:r>
              <w:rPr>
                <w:sz w:val="18"/>
              </w:rPr>
              <w:t xml:space="preserve">Research project managed by an Indigenous researcher, </w:t>
            </w:r>
            <w:proofErr w:type="spellStart"/>
            <w:r>
              <w:rPr>
                <w:sz w:val="18"/>
              </w:rPr>
              <w:t>Barkandji</w:t>
            </w:r>
            <w:proofErr w:type="spellEnd"/>
            <w:r>
              <w:rPr>
                <w:sz w:val="18"/>
              </w:rPr>
              <w:t xml:space="preserve"> woman Zena </w:t>
            </w:r>
            <w:proofErr w:type="spellStart"/>
            <w:r>
              <w:rPr>
                <w:sz w:val="18"/>
              </w:rPr>
              <w:t>Cumpston</w:t>
            </w:r>
            <w:proofErr w:type="spellEnd"/>
            <w:r>
              <w:rPr>
                <w:sz w:val="18"/>
              </w:rPr>
              <w:t>. The project included research on Wurundjeri Country.</w:t>
            </w:r>
          </w:p>
          <w:p w14:paraId="0D88761D" w14:textId="77777777" w:rsidR="00014A44" w:rsidRDefault="00345AF3">
            <w:pPr>
              <w:pStyle w:val="TableParagraph"/>
              <w:spacing w:before="0"/>
              <w:ind w:left="108" w:right="317"/>
              <w:rPr>
                <w:sz w:val="18"/>
              </w:rPr>
            </w:pPr>
            <w:r>
              <w:rPr>
                <w:sz w:val="18"/>
              </w:rPr>
              <w:t>Formal university processes meant a higher-level department we</w:t>
            </w:r>
            <w:r>
              <w:rPr>
                <w:sz w:val="18"/>
              </w:rPr>
              <w:t>re the formal direct communicator with Wurundjeri leaders. This did not seem aligned to appropriate cultural protocols for an Aboriginal person not working on their own Country and so some informal communication took place practically for cultural safety a</w:t>
            </w:r>
            <w:r>
              <w:rPr>
                <w:sz w:val="18"/>
              </w:rPr>
              <w:t>nd as good practice.</w:t>
            </w:r>
          </w:p>
        </w:tc>
      </w:tr>
      <w:tr w:rsidR="00014A44" w14:paraId="45730F04" w14:textId="77777777">
        <w:trPr>
          <w:trHeight w:val="1178"/>
        </w:trPr>
        <w:tc>
          <w:tcPr>
            <w:tcW w:w="852" w:type="dxa"/>
            <w:vMerge/>
            <w:tcBorders>
              <w:top w:val="nil"/>
            </w:tcBorders>
          </w:tcPr>
          <w:p w14:paraId="63DE6904" w14:textId="77777777" w:rsidR="00014A44" w:rsidRDefault="00014A44">
            <w:pPr>
              <w:rPr>
                <w:sz w:val="2"/>
                <w:szCs w:val="2"/>
              </w:rPr>
            </w:pPr>
          </w:p>
        </w:tc>
        <w:tc>
          <w:tcPr>
            <w:tcW w:w="2741" w:type="dxa"/>
          </w:tcPr>
          <w:p w14:paraId="666FA314" w14:textId="77777777" w:rsidR="00014A44" w:rsidRDefault="00345AF3">
            <w:pPr>
              <w:pStyle w:val="TableParagraph"/>
              <w:ind w:right="388"/>
              <w:rPr>
                <w:sz w:val="18"/>
              </w:rPr>
            </w:pPr>
            <w:r w:rsidRPr="00345AF3">
              <w:rPr>
                <w:b/>
                <w:bCs/>
                <w:sz w:val="18"/>
              </w:rPr>
              <w:t>6.1</w:t>
            </w:r>
            <w:r>
              <w:rPr>
                <w:sz w:val="18"/>
              </w:rPr>
              <w:t xml:space="preserve"> Towards an Indigenous-led research agenda</w:t>
            </w:r>
          </w:p>
        </w:tc>
        <w:tc>
          <w:tcPr>
            <w:tcW w:w="5758" w:type="dxa"/>
          </w:tcPr>
          <w:p w14:paraId="63D0344B" w14:textId="77777777" w:rsidR="00014A44" w:rsidRDefault="00345AF3">
            <w:pPr>
              <w:pStyle w:val="TableParagraph"/>
              <w:ind w:left="108" w:right="85"/>
              <w:rPr>
                <w:sz w:val="18"/>
              </w:rPr>
            </w:pPr>
            <w:r>
              <w:rPr>
                <w:sz w:val="18"/>
              </w:rPr>
              <w:t>Using Indigenous engagement from the outset as this project responds to longstanding calls by Indigenous communities to consider access to land as a part of sustainable urban futures. The project came out of previous CAUL projects with Indigenous people co</w:t>
            </w:r>
            <w:r>
              <w:rPr>
                <w:sz w:val="18"/>
              </w:rPr>
              <w:t>ntributing to the framing of this piece of work and communicating the importance and need for this piece of work.</w:t>
            </w:r>
          </w:p>
        </w:tc>
      </w:tr>
      <w:tr w:rsidR="00014A44" w14:paraId="190EF611" w14:textId="77777777">
        <w:trPr>
          <w:trHeight w:val="460"/>
        </w:trPr>
        <w:tc>
          <w:tcPr>
            <w:tcW w:w="9351" w:type="dxa"/>
            <w:gridSpan w:val="3"/>
            <w:shd w:val="clear" w:color="auto" w:fill="E7FFBD"/>
          </w:tcPr>
          <w:p w14:paraId="6A13EA43" w14:textId="77777777" w:rsidR="00014A44" w:rsidRPr="00345AF3" w:rsidRDefault="00345AF3">
            <w:pPr>
              <w:pStyle w:val="TableParagraph"/>
              <w:spacing w:before="123"/>
              <w:rPr>
                <w:b/>
                <w:bCs/>
                <w:sz w:val="18"/>
              </w:rPr>
            </w:pPr>
            <w:r w:rsidRPr="00345AF3">
              <w:rPr>
                <w:b/>
                <w:bCs/>
                <w:sz w:val="18"/>
              </w:rPr>
              <w:t>ESCC</w:t>
            </w:r>
          </w:p>
        </w:tc>
      </w:tr>
      <w:tr w:rsidR="00014A44" w14:paraId="056D8785" w14:textId="77777777">
        <w:trPr>
          <w:trHeight w:val="918"/>
        </w:trPr>
        <w:tc>
          <w:tcPr>
            <w:tcW w:w="852" w:type="dxa"/>
          </w:tcPr>
          <w:p w14:paraId="6E02A8F7" w14:textId="77777777" w:rsidR="00014A44" w:rsidRDefault="00014A44">
            <w:pPr>
              <w:pStyle w:val="TableParagraph"/>
              <w:spacing w:before="0"/>
              <w:ind w:left="0"/>
              <w:rPr>
                <w:rFonts w:ascii="Times New Roman"/>
                <w:sz w:val="18"/>
              </w:rPr>
            </w:pPr>
          </w:p>
        </w:tc>
        <w:tc>
          <w:tcPr>
            <w:tcW w:w="2741" w:type="dxa"/>
          </w:tcPr>
          <w:p w14:paraId="7718EDCF" w14:textId="77777777" w:rsidR="00014A44" w:rsidRDefault="00345AF3">
            <w:pPr>
              <w:pStyle w:val="TableParagraph"/>
              <w:ind w:right="129"/>
              <w:rPr>
                <w:sz w:val="18"/>
              </w:rPr>
            </w:pPr>
            <w:r w:rsidRPr="00345AF3">
              <w:rPr>
                <w:b/>
                <w:bCs/>
                <w:sz w:val="18"/>
              </w:rPr>
              <w:t>3.2</w:t>
            </w:r>
            <w:r>
              <w:rPr>
                <w:sz w:val="18"/>
              </w:rPr>
              <w:t xml:space="preserve"> Meeting Indigenous priorities for climate change information, capacity building and engagement</w:t>
            </w:r>
          </w:p>
        </w:tc>
        <w:tc>
          <w:tcPr>
            <w:tcW w:w="5758" w:type="dxa"/>
          </w:tcPr>
          <w:p w14:paraId="12681590" w14:textId="77777777" w:rsidR="00014A44" w:rsidRDefault="00345AF3">
            <w:pPr>
              <w:pStyle w:val="TableParagraph"/>
              <w:ind w:left="108" w:right="118"/>
              <w:rPr>
                <w:sz w:val="18"/>
              </w:rPr>
            </w:pPr>
            <w:r>
              <w:rPr>
                <w:sz w:val="18"/>
              </w:rPr>
              <w:t xml:space="preserve">Established an </w:t>
            </w:r>
            <w:proofErr w:type="gramStart"/>
            <w:r>
              <w:rPr>
                <w:sz w:val="18"/>
              </w:rPr>
              <w:t>Indigenous-led</w:t>
            </w:r>
            <w:proofErr w:type="gramEnd"/>
            <w:r>
              <w:rPr>
                <w:sz w:val="18"/>
              </w:rPr>
              <w:t xml:space="preserve"> Steering Committee, including a collaboration agreement with committee members developing terms of reference. The Dialogues were co-developed / co-designed in collaboration with an</w:t>
            </w:r>
          </w:p>
          <w:p w14:paraId="3E0FF66D" w14:textId="77777777" w:rsidR="00014A44" w:rsidRDefault="00345AF3">
            <w:pPr>
              <w:pStyle w:val="TableParagraph"/>
              <w:spacing w:before="1" w:line="199" w:lineRule="exact"/>
              <w:ind w:left="108"/>
              <w:rPr>
                <w:sz w:val="18"/>
              </w:rPr>
            </w:pPr>
            <w:r>
              <w:rPr>
                <w:sz w:val="18"/>
              </w:rPr>
              <w:t>Indigenous reference group – a central featur</w:t>
            </w:r>
            <w:r>
              <w:rPr>
                <w:sz w:val="18"/>
              </w:rPr>
              <w:t>e of the approach to</w:t>
            </w:r>
          </w:p>
        </w:tc>
      </w:tr>
    </w:tbl>
    <w:p w14:paraId="55F4BD93" w14:textId="77777777" w:rsidR="00014A44" w:rsidRDefault="00014A44">
      <w:pPr>
        <w:spacing w:line="199" w:lineRule="exact"/>
        <w:rPr>
          <w:sz w:val="18"/>
        </w:rPr>
        <w:sectPr w:rsidR="00014A44">
          <w:footerReference w:type="default" r:id="rId6"/>
          <w:type w:val="continuous"/>
          <w:pgSz w:w="11910" w:h="16840"/>
          <w:pgMar w:top="1580" w:right="980" w:bottom="1180" w:left="1300" w:header="720" w:footer="986" w:gutter="0"/>
          <w:pgNumType w:start="293"/>
          <w:cols w:space="720"/>
        </w:sectPr>
      </w:pPr>
    </w:p>
    <w:tbl>
      <w:tblPr>
        <w:tblW w:w="0" w:type="auto"/>
        <w:tblInd w:w="15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852"/>
        <w:gridCol w:w="2741"/>
        <w:gridCol w:w="5758"/>
      </w:tblGrid>
      <w:tr w:rsidR="00014A44" w14:paraId="6CD2B7DF" w14:textId="77777777">
        <w:trPr>
          <w:trHeight w:val="729"/>
        </w:trPr>
        <w:tc>
          <w:tcPr>
            <w:tcW w:w="852" w:type="dxa"/>
            <w:shd w:val="clear" w:color="auto" w:fill="E7FFBD"/>
          </w:tcPr>
          <w:p w14:paraId="29199C73" w14:textId="77777777" w:rsidR="00014A44" w:rsidRPr="00345AF3" w:rsidRDefault="00345AF3">
            <w:pPr>
              <w:pStyle w:val="TableParagraph"/>
              <w:spacing w:before="121"/>
              <w:ind w:left="215"/>
              <w:rPr>
                <w:b/>
                <w:bCs/>
                <w:sz w:val="20"/>
              </w:rPr>
            </w:pPr>
            <w:r w:rsidRPr="00345AF3">
              <w:rPr>
                <w:b/>
                <w:bCs/>
                <w:sz w:val="20"/>
              </w:rPr>
              <w:lastRenderedPageBreak/>
              <w:t>NESP</w:t>
            </w:r>
          </w:p>
          <w:p w14:paraId="5693BEC5" w14:textId="77777777" w:rsidR="00014A44" w:rsidRPr="00345AF3" w:rsidRDefault="00345AF3">
            <w:pPr>
              <w:pStyle w:val="TableParagraph"/>
              <w:spacing w:before="1"/>
              <w:ind w:left="259"/>
              <w:rPr>
                <w:b/>
                <w:bCs/>
                <w:sz w:val="20"/>
              </w:rPr>
            </w:pPr>
            <w:r w:rsidRPr="00345AF3">
              <w:rPr>
                <w:b/>
                <w:bCs/>
                <w:sz w:val="20"/>
              </w:rPr>
              <w:t>Hub</w:t>
            </w:r>
          </w:p>
        </w:tc>
        <w:tc>
          <w:tcPr>
            <w:tcW w:w="2741" w:type="dxa"/>
            <w:shd w:val="clear" w:color="auto" w:fill="E7FFBD"/>
          </w:tcPr>
          <w:p w14:paraId="7D0A60FB" w14:textId="77777777" w:rsidR="00014A44" w:rsidRPr="00345AF3" w:rsidRDefault="00014A44">
            <w:pPr>
              <w:pStyle w:val="TableParagraph"/>
              <w:spacing w:before="0"/>
              <w:ind w:left="0"/>
              <w:rPr>
                <w:b/>
                <w:bCs/>
                <w:sz w:val="20"/>
              </w:rPr>
            </w:pPr>
          </w:p>
          <w:p w14:paraId="12378016" w14:textId="77777777" w:rsidR="00014A44" w:rsidRPr="00345AF3" w:rsidRDefault="00345AF3">
            <w:pPr>
              <w:pStyle w:val="TableParagraph"/>
              <w:spacing w:before="0"/>
              <w:rPr>
                <w:b/>
                <w:bCs/>
                <w:sz w:val="20"/>
              </w:rPr>
            </w:pPr>
            <w:r w:rsidRPr="00345AF3">
              <w:rPr>
                <w:b/>
                <w:bCs/>
                <w:sz w:val="20"/>
              </w:rPr>
              <w:t>Project No.</w:t>
            </w:r>
          </w:p>
        </w:tc>
        <w:tc>
          <w:tcPr>
            <w:tcW w:w="5758" w:type="dxa"/>
            <w:shd w:val="clear" w:color="auto" w:fill="E7FFBD"/>
          </w:tcPr>
          <w:p w14:paraId="76398C0E" w14:textId="77777777" w:rsidR="00014A44" w:rsidRPr="00345AF3" w:rsidRDefault="00014A44">
            <w:pPr>
              <w:pStyle w:val="TableParagraph"/>
              <w:spacing w:before="0"/>
              <w:ind w:left="0"/>
              <w:rPr>
                <w:b/>
                <w:bCs/>
                <w:sz w:val="20"/>
              </w:rPr>
            </w:pPr>
          </w:p>
          <w:p w14:paraId="18BEDA8B" w14:textId="77777777" w:rsidR="00014A44" w:rsidRPr="00345AF3" w:rsidRDefault="00345AF3">
            <w:pPr>
              <w:pStyle w:val="TableParagraph"/>
              <w:spacing w:before="0"/>
              <w:ind w:left="108"/>
              <w:rPr>
                <w:b/>
                <w:bCs/>
                <w:sz w:val="20"/>
              </w:rPr>
            </w:pPr>
            <w:r w:rsidRPr="00345AF3">
              <w:rPr>
                <w:b/>
                <w:bCs/>
                <w:sz w:val="20"/>
              </w:rPr>
              <w:t>Details of ‘Indigenous led’</w:t>
            </w:r>
          </w:p>
        </w:tc>
      </w:tr>
      <w:tr w:rsidR="00014A44" w14:paraId="77C9774D" w14:textId="77777777">
        <w:trPr>
          <w:trHeight w:val="1137"/>
        </w:trPr>
        <w:tc>
          <w:tcPr>
            <w:tcW w:w="852" w:type="dxa"/>
            <w:vMerge w:val="restart"/>
          </w:tcPr>
          <w:p w14:paraId="6AE4DABF" w14:textId="77777777" w:rsidR="00014A44" w:rsidRDefault="00014A44">
            <w:pPr>
              <w:pStyle w:val="TableParagraph"/>
              <w:spacing w:before="0"/>
              <w:ind w:left="0"/>
              <w:rPr>
                <w:rFonts w:ascii="Times New Roman"/>
                <w:sz w:val="18"/>
              </w:rPr>
            </w:pPr>
          </w:p>
        </w:tc>
        <w:tc>
          <w:tcPr>
            <w:tcW w:w="2741" w:type="dxa"/>
          </w:tcPr>
          <w:p w14:paraId="68A8D196" w14:textId="77777777" w:rsidR="00014A44" w:rsidRDefault="00014A44">
            <w:pPr>
              <w:pStyle w:val="TableParagraph"/>
              <w:spacing w:before="0"/>
              <w:ind w:left="0"/>
              <w:rPr>
                <w:rFonts w:ascii="Times New Roman"/>
                <w:sz w:val="18"/>
              </w:rPr>
            </w:pPr>
          </w:p>
        </w:tc>
        <w:tc>
          <w:tcPr>
            <w:tcW w:w="5758" w:type="dxa"/>
          </w:tcPr>
          <w:p w14:paraId="2F7D5F9B" w14:textId="77777777" w:rsidR="00014A44" w:rsidRDefault="00345AF3">
            <w:pPr>
              <w:pStyle w:val="TableParagraph"/>
              <w:spacing w:before="0"/>
              <w:ind w:left="108" w:right="132"/>
              <w:rPr>
                <w:sz w:val="18"/>
              </w:rPr>
            </w:pPr>
            <w:r>
              <w:rPr>
                <w:sz w:val="18"/>
              </w:rPr>
              <w:t>convening the National Indigenous Climate Dialogue Workshop. The National Dialogue involved more than 50 traditional owners from across Australia in Barmah, Victoria in November 2018 to share observations, talk about priorities and explore opportunities to</w:t>
            </w:r>
            <w:r>
              <w:rPr>
                <w:sz w:val="18"/>
              </w:rPr>
              <w:t xml:space="preserve"> improve knowledge of climate change and its risks for people and Country.</w:t>
            </w:r>
          </w:p>
        </w:tc>
      </w:tr>
      <w:tr w:rsidR="00014A44" w14:paraId="7CB9DCC9" w14:textId="77777777">
        <w:trPr>
          <w:trHeight w:val="1398"/>
        </w:trPr>
        <w:tc>
          <w:tcPr>
            <w:tcW w:w="852" w:type="dxa"/>
            <w:vMerge/>
            <w:tcBorders>
              <w:top w:val="nil"/>
            </w:tcBorders>
          </w:tcPr>
          <w:p w14:paraId="06F2B572" w14:textId="77777777" w:rsidR="00014A44" w:rsidRDefault="00014A44">
            <w:pPr>
              <w:rPr>
                <w:sz w:val="2"/>
                <w:szCs w:val="2"/>
              </w:rPr>
            </w:pPr>
          </w:p>
        </w:tc>
        <w:tc>
          <w:tcPr>
            <w:tcW w:w="2741" w:type="dxa"/>
          </w:tcPr>
          <w:p w14:paraId="28277C41" w14:textId="77777777" w:rsidR="00014A44" w:rsidRDefault="00345AF3">
            <w:pPr>
              <w:pStyle w:val="TableParagraph"/>
              <w:ind w:right="155"/>
              <w:rPr>
                <w:sz w:val="18"/>
              </w:rPr>
            </w:pPr>
            <w:r w:rsidRPr="00345AF3">
              <w:rPr>
                <w:b/>
                <w:bCs/>
                <w:sz w:val="18"/>
              </w:rPr>
              <w:t>3.3</w:t>
            </w:r>
            <w:r>
              <w:rPr>
                <w:sz w:val="18"/>
              </w:rPr>
              <w:t xml:space="preserve"> Climate change impacts on inshore aquatic ecosystems and coastal communities in the Torres Strait</w:t>
            </w:r>
          </w:p>
        </w:tc>
        <w:tc>
          <w:tcPr>
            <w:tcW w:w="5758" w:type="dxa"/>
          </w:tcPr>
          <w:p w14:paraId="0DD6990A" w14:textId="77777777" w:rsidR="00014A44" w:rsidRDefault="00345AF3">
            <w:pPr>
              <w:pStyle w:val="TableParagraph"/>
              <w:ind w:left="108"/>
              <w:rPr>
                <w:sz w:val="18"/>
              </w:rPr>
            </w:pPr>
            <w:r>
              <w:rPr>
                <w:sz w:val="18"/>
              </w:rPr>
              <w:t xml:space="preserve">ESSC Hub partnered with the Torres Strait Regional Authority to </w:t>
            </w:r>
            <w:proofErr w:type="gramStart"/>
            <w:r>
              <w:rPr>
                <w:sz w:val="18"/>
              </w:rPr>
              <w:t>gather together</w:t>
            </w:r>
            <w:proofErr w:type="gramEnd"/>
            <w:r>
              <w:rPr>
                <w:sz w:val="18"/>
              </w:rPr>
              <w:t xml:space="preserve"> climate change, marine and fisheries scientists, fisheries managers and tr</w:t>
            </w:r>
            <w:r>
              <w:rPr>
                <w:sz w:val="18"/>
              </w:rPr>
              <w:t>aditional owners to discuss the implications of climate change on fisheries and marine ecosystems in the region. A workshop was planned in collaboration with the Torres Strait Regional Authority, AFMA, TWQ Hub &amp; Fishing Corporations.</w:t>
            </w:r>
          </w:p>
        </w:tc>
      </w:tr>
      <w:tr w:rsidR="00014A44" w14:paraId="66F902AE" w14:textId="77777777">
        <w:trPr>
          <w:trHeight w:val="738"/>
        </w:trPr>
        <w:tc>
          <w:tcPr>
            <w:tcW w:w="852" w:type="dxa"/>
            <w:vMerge/>
            <w:tcBorders>
              <w:top w:val="nil"/>
            </w:tcBorders>
          </w:tcPr>
          <w:p w14:paraId="01580827" w14:textId="77777777" w:rsidR="00014A44" w:rsidRDefault="00014A44">
            <w:pPr>
              <w:rPr>
                <w:sz w:val="2"/>
                <w:szCs w:val="2"/>
              </w:rPr>
            </w:pPr>
          </w:p>
        </w:tc>
        <w:tc>
          <w:tcPr>
            <w:tcW w:w="2741" w:type="dxa"/>
          </w:tcPr>
          <w:p w14:paraId="293D80D5" w14:textId="77777777" w:rsidR="00014A44" w:rsidRDefault="00345AF3">
            <w:pPr>
              <w:pStyle w:val="TableParagraph"/>
              <w:ind w:right="93"/>
              <w:rPr>
                <w:sz w:val="18"/>
              </w:rPr>
            </w:pPr>
            <w:r w:rsidRPr="00345AF3">
              <w:rPr>
                <w:b/>
                <w:bCs/>
                <w:sz w:val="18"/>
              </w:rPr>
              <w:t>3.9</w:t>
            </w:r>
            <w:r>
              <w:rPr>
                <w:sz w:val="18"/>
              </w:rPr>
              <w:t xml:space="preserve"> Practical and em</w:t>
            </w:r>
            <w:r>
              <w:rPr>
                <w:sz w:val="18"/>
              </w:rPr>
              <w:t>powering responses to coastal erosion in the Tiwi Islands</w:t>
            </w:r>
          </w:p>
        </w:tc>
        <w:tc>
          <w:tcPr>
            <w:tcW w:w="5758" w:type="dxa"/>
          </w:tcPr>
          <w:p w14:paraId="37843BDB" w14:textId="77777777" w:rsidR="00014A44" w:rsidRDefault="00345AF3">
            <w:pPr>
              <w:pStyle w:val="TableParagraph"/>
              <w:ind w:left="108"/>
              <w:rPr>
                <w:sz w:val="18"/>
              </w:rPr>
            </w:pPr>
            <w:r>
              <w:rPr>
                <w:sz w:val="18"/>
              </w:rPr>
              <w:t>Tiwi Land Council (TLC) requested a second workshop on climate change adaptation, following an earlier NCCARF workshop on sea-level rise.</w:t>
            </w:r>
          </w:p>
        </w:tc>
      </w:tr>
      <w:tr w:rsidR="00014A44" w14:paraId="0AE0A9BC" w14:textId="77777777">
        <w:trPr>
          <w:trHeight w:val="960"/>
        </w:trPr>
        <w:tc>
          <w:tcPr>
            <w:tcW w:w="852" w:type="dxa"/>
            <w:vMerge/>
            <w:tcBorders>
              <w:top w:val="nil"/>
            </w:tcBorders>
          </w:tcPr>
          <w:p w14:paraId="79E8C5B1" w14:textId="77777777" w:rsidR="00014A44" w:rsidRDefault="00014A44">
            <w:pPr>
              <w:rPr>
                <w:sz w:val="2"/>
                <w:szCs w:val="2"/>
              </w:rPr>
            </w:pPr>
          </w:p>
        </w:tc>
        <w:tc>
          <w:tcPr>
            <w:tcW w:w="2741" w:type="dxa"/>
          </w:tcPr>
          <w:p w14:paraId="71F51A7F" w14:textId="77777777" w:rsidR="00014A44" w:rsidRDefault="00345AF3">
            <w:pPr>
              <w:pStyle w:val="TableParagraph"/>
              <w:spacing w:before="40"/>
              <w:ind w:right="344"/>
              <w:rPr>
                <w:sz w:val="18"/>
              </w:rPr>
            </w:pPr>
            <w:r w:rsidRPr="00345AF3">
              <w:rPr>
                <w:b/>
                <w:bCs/>
                <w:sz w:val="18"/>
              </w:rPr>
              <w:t>6.1</w:t>
            </w:r>
            <w:r>
              <w:rPr>
                <w:sz w:val="18"/>
              </w:rPr>
              <w:t xml:space="preserve"> Second national Indigenous gathering on climate change – pathway to sustainable relationships</w:t>
            </w:r>
          </w:p>
        </w:tc>
        <w:tc>
          <w:tcPr>
            <w:tcW w:w="5758" w:type="dxa"/>
          </w:tcPr>
          <w:p w14:paraId="63067C6F" w14:textId="77777777" w:rsidR="00014A44" w:rsidRDefault="00345AF3">
            <w:pPr>
              <w:pStyle w:val="TableParagraph"/>
              <w:spacing w:before="40"/>
              <w:ind w:left="108" w:right="195"/>
              <w:rPr>
                <w:sz w:val="18"/>
              </w:rPr>
            </w:pPr>
            <w:r>
              <w:rPr>
                <w:sz w:val="18"/>
              </w:rPr>
              <w:t xml:space="preserve">Establish an </w:t>
            </w:r>
            <w:proofErr w:type="gramStart"/>
            <w:r>
              <w:rPr>
                <w:sz w:val="18"/>
              </w:rPr>
              <w:t>Indigenous-led</w:t>
            </w:r>
            <w:proofErr w:type="gramEnd"/>
            <w:r>
              <w:rPr>
                <w:sz w:val="18"/>
              </w:rPr>
              <w:t xml:space="preserve"> Steering Committee, including a collaboration agreement with committee members. Terms of Reference for the Steering Committee, by </w:t>
            </w:r>
            <w:r>
              <w:rPr>
                <w:sz w:val="18"/>
              </w:rPr>
              <w:t>which co-development / co-design and collaboration will be a central feature and used to guide to prepare for the dialogue.</w:t>
            </w:r>
          </w:p>
        </w:tc>
      </w:tr>
      <w:tr w:rsidR="00014A44" w14:paraId="7C25444B" w14:textId="77777777">
        <w:trPr>
          <w:trHeight w:val="959"/>
        </w:trPr>
        <w:tc>
          <w:tcPr>
            <w:tcW w:w="852" w:type="dxa"/>
            <w:vMerge/>
            <w:tcBorders>
              <w:top w:val="nil"/>
            </w:tcBorders>
          </w:tcPr>
          <w:p w14:paraId="67DC4AFD" w14:textId="77777777" w:rsidR="00014A44" w:rsidRDefault="00014A44">
            <w:pPr>
              <w:rPr>
                <w:sz w:val="2"/>
                <w:szCs w:val="2"/>
              </w:rPr>
            </w:pPr>
          </w:p>
        </w:tc>
        <w:tc>
          <w:tcPr>
            <w:tcW w:w="2741" w:type="dxa"/>
          </w:tcPr>
          <w:p w14:paraId="0935C6DF" w14:textId="77777777" w:rsidR="00014A44" w:rsidRDefault="00345AF3">
            <w:pPr>
              <w:pStyle w:val="TableParagraph"/>
              <w:ind w:right="600"/>
              <w:rPr>
                <w:sz w:val="18"/>
              </w:rPr>
            </w:pPr>
            <w:r w:rsidRPr="00345AF3">
              <w:rPr>
                <w:b/>
                <w:bCs/>
                <w:sz w:val="18"/>
              </w:rPr>
              <w:t>(A)</w:t>
            </w:r>
            <w:r>
              <w:rPr>
                <w:sz w:val="18"/>
              </w:rPr>
              <w:t xml:space="preserve"> Supporting Indigenous participation at AMOS 2020 conference</w:t>
            </w:r>
          </w:p>
        </w:tc>
        <w:tc>
          <w:tcPr>
            <w:tcW w:w="5758" w:type="dxa"/>
          </w:tcPr>
          <w:p w14:paraId="6F1B0F42" w14:textId="77777777" w:rsidR="00014A44" w:rsidRDefault="00345AF3">
            <w:pPr>
              <w:pStyle w:val="TableParagraph"/>
              <w:ind w:left="108" w:right="159"/>
              <w:rPr>
                <w:sz w:val="18"/>
              </w:rPr>
            </w:pPr>
            <w:r>
              <w:rPr>
                <w:sz w:val="18"/>
              </w:rPr>
              <w:t>Co-developed the Indigenous session at AMOS Conference in February 2020. Cross cultural workshop with the researchers at AMOS Conference to discuss the protocols and understanding of what working with Indigenous communities requires.</w:t>
            </w:r>
          </w:p>
        </w:tc>
      </w:tr>
      <w:tr w:rsidR="00014A44" w14:paraId="38E2B65C" w14:textId="77777777">
        <w:trPr>
          <w:trHeight w:val="542"/>
        </w:trPr>
        <w:tc>
          <w:tcPr>
            <w:tcW w:w="852" w:type="dxa"/>
            <w:vMerge/>
            <w:tcBorders>
              <w:top w:val="nil"/>
            </w:tcBorders>
          </w:tcPr>
          <w:p w14:paraId="3CB9F20C" w14:textId="77777777" w:rsidR="00014A44" w:rsidRDefault="00014A44">
            <w:pPr>
              <w:rPr>
                <w:sz w:val="2"/>
                <w:szCs w:val="2"/>
              </w:rPr>
            </w:pPr>
          </w:p>
        </w:tc>
        <w:tc>
          <w:tcPr>
            <w:tcW w:w="2741" w:type="dxa"/>
          </w:tcPr>
          <w:p w14:paraId="4487997D" w14:textId="77777777" w:rsidR="00014A44" w:rsidRDefault="00345AF3">
            <w:pPr>
              <w:pStyle w:val="TableParagraph"/>
              <w:ind w:right="420"/>
              <w:rPr>
                <w:sz w:val="18"/>
              </w:rPr>
            </w:pPr>
            <w:r w:rsidRPr="00345AF3">
              <w:rPr>
                <w:b/>
                <w:bCs/>
                <w:sz w:val="20"/>
              </w:rPr>
              <w:t>(</w:t>
            </w:r>
            <w:r w:rsidRPr="00345AF3">
              <w:rPr>
                <w:b/>
                <w:bCs/>
                <w:sz w:val="18"/>
              </w:rPr>
              <w:t>B)</w:t>
            </w:r>
            <w:r>
              <w:rPr>
                <w:sz w:val="18"/>
              </w:rPr>
              <w:t xml:space="preserve"> Indigenous perspectives of climate risk</w:t>
            </w:r>
          </w:p>
        </w:tc>
        <w:tc>
          <w:tcPr>
            <w:tcW w:w="5758" w:type="dxa"/>
          </w:tcPr>
          <w:p w14:paraId="2118362A" w14:textId="77777777" w:rsidR="00014A44" w:rsidRDefault="00345AF3">
            <w:pPr>
              <w:pStyle w:val="TableParagraph"/>
              <w:ind w:left="108" w:right="606"/>
              <w:rPr>
                <w:sz w:val="18"/>
              </w:rPr>
            </w:pPr>
            <w:r>
              <w:rPr>
                <w:sz w:val="18"/>
              </w:rPr>
              <w:t xml:space="preserve">A series of activities with the </w:t>
            </w:r>
            <w:proofErr w:type="spellStart"/>
            <w:r>
              <w:rPr>
                <w:sz w:val="18"/>
              </w:rPr>
              <w:t>Malgana</w:t>
            </w:r>
            <w:proofErr w:type="spellEnd"/>
            <w:r>
              <w:rPr>
                <w:sz w:val="18"/>
              </w:rPr>
              <w:t xml:space="preserve"> Aboriginal Corporation and the Central Australia Land Council.</w:t>
            </w:r>
          </w:p>
        </w:tc>
      </w:tr>
      <w:tr w:rsidR="00014A44" w14:paraId="2EC88040" w14:textId="77777777">
        <w:trPr>
          <w:trHeight w:val="959"/>
        </w:trPr>
        <w:tc>
          <w:tcPr>
            <w:tcW w:w="852" w:type="dxa"/>
            <w:vMerge/>
            <w:tcBorders>
              <w:top w:val="nil"/>
            </w:tcBorders>
          </w:tcPr>
          <w:p w14:paraId="6C7ABDBD" w14:textId="77777777" w:rsidR="00014A44" w:rsidRDefault="00014A44">
            <w:pPr>
              <w:rPr>
                <w:sz w:val="2"/>
                <w:szCs w:val="2"/>
              </w:rPr>
            </w:pPr>
          </w:p>
        </w:tc>
        <w:tc>
          <w:tcPr>
            <w:tcW w:w="2741" w:type="dxa"/>
          </w:tcPr>
          <w:p w14:paraId="3BCDDF17" w14:textId="77777777" w:rsidR="00014A44" w:rsidRDefault="00345AF3">
            <w:pPr>
              <w:pStyle w:val="TableParagraph"/>
              <w:spacing w:before="42"/>
              <w:ind w:right="381"/>
              <w:rPr>
                <w:sz w:val="18"/>
              </w:rPr>
            </w:pPr>
            <w:r w:rsidRPr="00345AF3">
              <w:rPr>
                <w:b/>
                <w:bCs/>
                <w:sz w:val="18"/>
              </w:rPr>
              <w:t>(C)</w:t>
            </w:r>
            <w:r>
              <w:rPr>
                <w:sz w:val="18"/>
              </w:rPr>
              <w:t xml:space="preserve"> Adapting to climate change and building resilience in Australian World Heritage properties</w:t>
            </w:r>
          </w:p>
        </w:tc>
        <w:tc>
          <w:tcPr>
            <w:tcW w:w="5758" w:type="dxa"/>
          </w:tcPr>
          <w:p w14:paraId="63F450B1" w14:textId="77777777" w:rsidR="00014A44" w:rsidRDefault="00345AF3">
            <w:pPr>
              <w:pStyle w:val="TableParagraph"/>
              <w:spacing w:before="42"/>
              <w:ind w:left="108" w:right="114"/>
              <w:rPr>
                <w:sz w:val="18"/>
              </w:rPr>
            </w:pPr>
            <w:r>
              <w:rPr>
                <w:sz w:val="18"/>
              </w:rPr>
              <w:t>This case study will develop a participatory process and a methodology for using Indigenous ecological and social knowledge and science-based climate change info</w:t>
            </w:r>
            <w:r>
              <w:rPr>
                <w:sz w:val="18"/>
              </w:rPr>
              <w:t xml:space="preserve">rmation. Project co-designed with the </w:t>
            </w:r>
            <w:proofErr w:type="spellStart"/>
            <w:r>
              <w:rPr>
                <w:sz w:val="18"/>
              </w:rPr>
              <w:t>Butchulla</w:t>
            </w:r>
            <w:proofErr w:type="spellEnd"/>
            <w:r>
              <w:rPr>
                <w:sz w:val="18"/>
              </w:rPr>
              <w:t xml:space="preserve"> people and the World Heritage Property Managers.</w:t>
            </w:r>
          </w:p>
        </w:tc>
      </w:tr>
      <w:tr w:rsidR="00014A44" w14:paraId="07FE1BA3" w14:textId="77777777">
        <w:trPr>
          <w:trHeight w:val="484"/>
        </w:trPr>
        <w:tc>
          <w:tcPr>
            <w:tcW w:w="9351" w:type="dxa"/>
            <w:gridSpan w:val="3"/>
            <w:shd w:val="clear" w:color="auto" w:fill="E7FFBD"/>
          </w:tcPr>
          <w:p w14:paraId="5CECEAF2" w14:textId="77777777" w:rsidR="00014A44" w:rsidRPr="00345AF3" w:rsidRDefault="00345AF3">
            <w:pPr>
              <w:pStyle w:val="TableParagraph"/>
              <w:spacing w:before="121"/>
              <w:rPr>
                <w:b/>
                <w:bCs/>
                <w:sz w:val="20"/>
              </w:rPr>
            </w:pPr>
            <w:r w:rsidRPr="00345AF3">
              <w:rPr>
                <w:b/>
                <w:bCs/>
                <w:sz w:val="20"/>
              </w:rPr>
              <w:t>MB</w:t>
            </w:r>
          </w:p>
        </w:tc>
      </w:tr>
      <w:tr w:rsidR="00014A44" w14:paraId="69A49D0B" w14:textId="77777777">
        <w:trPr>
          <w:trHeight w:val="738"/>
        </w:trPr>
        <w:tc>
          <w:tcPr>
            <w:tcW w:w="852" w:type="dxa"/>
            <w:vMerge w:val="restart"/>
          </w:tcPr>
          <w:p w14:paraId="3A76E7E6" w14:textId="77777777" w:rsidR="00014A44" w:rsidRDefault="00014A44">
            <w:pPr>
              <w:pStyle w:val="TableParagraph"/>
              <w:spacing w:before="0"/>
              <w:ind w:left="0"/>
              <w:rPr>
                <w:rFonts w:ascii="Times New Roman"/>
                <w:sz w:val="18"/>
              </w:rPr>
            </w:pPr>
          </w:p>
        </w:tc>
        <w:tc>
          <w:tcPr>
            <w:tcW w:w="2741" w:type="dxa"/>
          </w:tcPr>
          <w:p w14:paraId="7EAB386B" w14:textId="77777777" w:rsidR="00014A44" w:rsidRDefault="00345AF3">
            <w:pPr>
              <w:pStyle w:val="TableParagraph"/>
              <w:ind w:right="260"/>
              <w:rPr>
                <w:sz w:val="18"/>
              </w:rPr>
            </w:pPr>
            <w:r w:rsidRPr="00345AF3">
              <w:rPr>
                <w:b/>
                <w:bCs/>
                <w:sz w:val="18"/>
              </w:rPr>
              <w:t xml:space="preserve">A1 </w:t>
            </w:r>
            <w:r>
              <w:rPr>
                <w:sz w:val="18"/>
              </w:rPr>
              <w:t>Northern Australian hotspots for the recovery of threatened euryhaline species</w:t>
            </w:r>
          </w:p>
        </w:tc>
        <w:tc>
          <w:tcPr>
            <w:tcW w:w="5758" w:type="dxa"/>
          </w:tcPr>
          <w:p w14:paraId="09A06739" w14:textId="77777777" w:rsidR="00014A44" w:rsidRDefault="00345AF3">
            <w:pPr>
              <w:pStyle w:val="TableParagraph"/>
              <w:ind w:left="108"/>
              <w:rPr>
                <w:sz w:val="18"/>
              </w:rPr>
            </w:pPr>
            <w:r>
              <w:rPr>
                <w:sz w:val="18"/>
              </w:rPr>
              <w:t>Indigenous ranger groups and MB Hub scientists collaborated in enduring partnerships to conceive the project. And collaborated to plan and conduct field research to capture, tag and release protected species.</w:t>
            </w:r>
          </w:p>
        </w:tc>
      </w:tr>
      <w:tr w:rsidR="00014A44" w14:paraId="136EED2A" w14:textId="77777777">
        <w:trPr>
          <w:trHeight w:val="959"/>
        </w:trPr>
        <w:tc>
          <w:tcPr>
            <w:tcW w:w="852" w:type="dxa"/>
            <w:vMerge/>
            <w:tcBorders>
              <w:top w:val="nil"/>
            </w:tcBorders>
          </w:tcPr>
          <w:p w14:paraId="6B2996B2" w14:textId="77777777" w:rsidR="00014A44" w:rsidRDefault="00014A44">
            <w:pPr>
              <w:rPr>
                <w:sz w:val="2"/>
                <w:szCs w:val="2"/>
              </w:rPr>
            </w:pPr>
          </w:p>
        </w:tc>
        <w:tc>
          <w:tcPr>
            <w:tcW w:w="2741" w:type="dxa"/>
          </w:tcPr>
          <w:p w14:paraId="3587137D" w14:textId="77777777" w:rsidR="00014A44" w:rsidRDefault="00345AF3">
            <w:pPr>
              <w:pStyle w:val="TableParagraph"/>
              <w:ind w:right="178"/>
              <w:rPr>
                <w:sz w:val="18"/>
              </w:rPr>
            </w:pPr>
            <w:r w:rsidRPr="00345AF3">
              <w:rPr>
                <w:b/>
                <w:bCs/>
                <w:sz w:val="18"/>
              </w:rPr>
              <w:t>A12</w:t>
            </w:r>
            <w:r>
              <w:rPr>
                <w:sz w:val="18"/>
              </w:rPr>
              <w:t xml:space="preserve"> Australia’s Northern Seascape: assessing </w:t>
            </w:r>
            <w:r>
              <w:rPr>
                <w:sz w:val="18"/>
              </w:rPr>
              <w:t>status of threatened and migratory marine species</w:t>
            </w:r>
          </w:p>
        </w:tc>
        <w:tc>
          <w:tcPr>
            <w:tcW w:w="5758" w:type="dxa"/>
          </w:tcPr>
          <w:p w14:paraId="1A0380BF" w14:textId="77777777" w:rsidR="00014A44" w:rsidRDefault="00345AF3">
            <w:pPr>
              <w:pStyle w:val="TableParagraph"/>
              <w:ind w:left="108" w:right="97"/>
              <w:rPr>
                <w:sz w:val="18"/>
              </w:rPr>
            </w:pPr>
            <w:r>
              <w:rPr>
                <w:sz w:val="18"/>
              </w:rPr>
              <w:t>Numerous Traditional Owner groups in the NT were involved in identifying the species of importance to them for cultural reasons and many Indigenous ranger groups were actively involved in the capture, taggi</w:t>
            </w:r>
            <w:r>
              <w:rPr>
                <w:sz w:val="18"/>
              </w:rPr>
              <w:t>ng and monitoring of shark movements in rivers in northern Australia.</w:t>
            </w:r>
          </w:p>
        </w:tc>
      </w:tr>
      <w:tr w:rsidR="00014A44" w14:paraId="2D4CAAA4" w14:textId="77777777">
        <w:trPr>
          <w:trHeight w:val="1177"/>
        </w:trPr>
        <w:tc>
          <w:tcPr>
            <w:tcW w:w="852" w:type="dxa"/>
            <w:vMerge/>
            <w:tcBorders>
              <w:top w:val="nil"/>
            </w:tcBorders>
          </w:tcPr>
          <w:p w14:paraId="218D2C91" w14:textId="77777777" w:rsidR="00014A44" w:rsidRDefault="00014A44">
            <w:pPr>
              <w:rPr>
                <w:sz w:val="2"/>
                <w:szCs w:val="2"/>
              </w:rPr>
            </w:pPr>
          </w:p>
        </w:tc>
        <w:tc>
          <w:tcPr>
            <w:tcW w:w="2741" w:type="dxa"/>
          </w:tcPr>
          <w:p w14:paraId="3FF37504" w14:textId="77777777" w:rsidR="00014A44" w:rsidRDefault="00345AF3">
            <w:pPr>
              <w:pStyle w:val="TableParagraph"/>
              <w:ind w:right="240"/>
              <w:rPr>
                <w:sz w:val="18"/>
              </w:rPr>
            </w:pPr>
            <w:r w:rsidRPr="00345AF3">
              <w:rPr>
                <w:b/>
                <w:bCs/>
                <w:sz w:val="18"/>
              </w:rPr>
              <w:t xml:space="preserve">E6 </w:t>
            </w:r>
            <w:r>
              <w:rPr>
                <w:sz w:val="18"/>
              </w:rPr>
              <w:t>Assisting restoration of ecosystem engineers through seed-based and shoot-based programs in the Shark Bay World Heritage Site</w:t>
            </w:r>
          </w:p>
        </w:tc>
        <w:tc>
          <w:tcPr>
            <w:tcW w:w="5758" w:type="dxa"/>
          </w:tcPr>
          <w:p w14:paraId="79DCF916" w14:textId="77777777" w:rsidR="00014A44" w:rsidRDefault="00345AF3">
            <w:pPr>
              <w:pStyle w:val="TableParagraph"/>
              <w:ind w:left="108" w:right="132"/>
              <w:rPr>
                <w:sz w:val="18"/>
              </w:rPr>
            </w:pPr>
            <w:r>
              <w:rPr>
                <w:sz w:val="18"/>
              </w:rPr>
              <w:t xml:space="preserve">This project is a collaboration between scientists and the Shark Bay </w:t>
            </w:r>
            <w:proofErr w:type="spellStart"/>
            <w:r>
              <w:rPr>
                <w:sz w:val="18"/>
              </w:rPr>
              <w:t>Malgana</w:t>
            </w:r>
            <w:proofErr w:type="spellEnd"/>
            <w:r>
              <w:rPr>
                <w:sz w:val="18"/>
              </w:rPr>
              <w:t xml:space="preserve"> Indigenous community. The </w:t>
            </w:r>
            <w:proofErr w:type="spellStart"/>
            <w:r>
              <w:rPr>
                <w:sz w:val="18"/>
              </w:rPr>
              <w:t>Malgana</w:t>
            </w:r>
            <w:proofErr w:type="spellEnd"/>
            <w:r>
              <w:rPr>
                <w:sz w:val="18"/>
              </w:rPr>
              <w:t xml:space="preserve"> Aboriginal Corpo</w:t>
            </w:r>
            <w:r>
              <w:rPr>
                <w:sz w:val="18"/>
              </w:rPr>
              <w:t xml:space="preserve">ration and </w:t>
            </w:r>
            <w:proofErr w:type="spellStart"/>
            <w:r>
              <w:rPr>
                <w:sz w:val="18"/>
              </w:rPr>
              <w:t>Malgana</w:t>
            </w:r>
            <w:proofErr w:type="spellEnd"/>
            <w:r>
              <w:rPr>
                <w:sz w:val="18"/>
              </w:rPr>
              <w:t xml:space="preserve"> Rangers have been involved in planning the research, including development of shared understanding about science objectives, cultural objectives, access to sites and training opportunities.</w:t>
            </w:r>
          </w:p>
        </w:tc>
      </w:tr>
      <w:tr w:rsidR="00014A44" w14:paraId="074365CA" w14:textId="77777777">
        <w:trPr>
          <w:trHeight w:val="484"/>
        </w:trPr>
        <w:tc>
          <w:tcPr>
            <w:tcW w:w="9351" w:type="dxa"/>
            <w:gridSpan w:val="3"/>
            <w:shd w:val="clear" w:color="auto" w:fill="E7FFBD"/>
          </w:tcPr>
          <w:p w14:paraId="713B33E9" w14:textId="77777777" w:rsidR="00014A44" w:rsidRPr="00345AF3" w:rsidRDefault="00345AF3">
            <w:pPr>
              <w:pStyle w:val="TableParagraph"/>
              <w:spacing w:before="121"/>
              <w:rPr>
                <w:b/>
                <w:bCs/>
                <w:sz w:val="20"/>
              </w:rPr>
            </w:pPr>
            <w:r w:rsidRPr="00345AF3">
              <w:rPr>
                <w:b/>
                <w:bCs/>
                <w:sz w:val="20"/>
              </w:rPr>
              <w:t>NAER</w:t>
            </w:r>
          </w:p>
        </w:tc>
      </w:tr>
      <w:tr w:rsidR="00014A44" w14:paraId="1DD751B4" w14:textId="77777777">
        <w:trPr>
          <w:trHeight w:val="1838"/>
        </w:trPr>
        <w:tc>
          <w:tcPr>
            <w:tcW w:w="852" w:type="dxa"/>
          </w:tcPr>
          <w:p w14:paraId="3FA4987A" w14:textId="77777777" w:rsidR="00014A44" w:rsidRDefault="00014A44">
            <w:pPr>
              <w:pStyle w:val="TableParagraph"/>
              <w:spacing w:before="0"/>
              <w:ind w:left="0"/>
              <w:rPr>
                <w:rFonts w:ascii="Times New Roman"/>
                <w:sz w:val="18"/>
              </w:rPr>
            </w:pPr>
          </w:p>
        </w:tc>
        <w:tc>
          <w:tcPr>
            <w:tcW w:w="2741" w:type="dxa"/>
          </w:tcPr>
          <w:p w14:paraId="287A4C99" w14:textId="77777777" w:rsidR="00014A44" w:rsidRDefault="00345AF3">
            <w:pPr>
              <w:pStyle w:val="TableParagraph"/>
              <w:spacing w:before="40"/>
              <w:ind w:right="301"/>
              <w:rPr>
                <w:sz w:val="18"/>
              </w:rPr>
            </w:pPr>
            <w:r w:rsidRPr="00345AF3">
              <w:rPr>
                <w:b/>
                <w:bCs/>
                <w:sz w:val="18"/>
              </w:rPr>
              <w:t>1.5</w:t>
            </w:r>
            <w:r>
              <w:rPr>
                <w:sz w:val="18"/>
              </w:rPr>
              <w:t xml:space="preserve"> Indigenous Water Needs for the Fitzroy River</w:t>
            </w:r>
          </w:p>
        </w:tc>
        <w:tc>
          <w:tcPr>
            <w:tcW w:w="5758" w:type="dxa"/>
          </w:tcPr>
          <w:p w14:paraId="76D95FF9" w14:textId="77777777" w:rsidR="00014A44" w:rsidRDefault="00345AF3">
            <w:pPr>
              <w:pStyle w:val="TableParagraph"/>
              <w:spacing w:before="40"/>
              <w:ind w:left="108" w:right="294"/>
              <w:rPr>
                <w:sz w:val="18"/>
              </w:rPr>
            </w:pPr>
            <w:r>
              <w:rPr>
                <w:sz w:val="18"/>
              </w:rPr>
              <w:t>This project aimed to support Aboriginal peoples’ involvement in water management, identifying linkages between Aboriginal peoples’ values, practices and water regimes, and eliciting knowledge as well as objectives for the future management of land and wat</w:t>
            </w:r>
            <w:r>
              <w:rPr>
                <w:sz w:val="18"/>
              </w:rPr>
              <w:t>er resources. TOs Involved in</w:t>
            </w:r>
          </w:p>
          <w:p w14:paraId="0C43BDDC" w14:textId="77777777" w:rsidR="00014A44" w:rsidRDefault="00345AF3">
            <w:pPr>
              <w:pStyle w:val="TableParagraph"/>
              <w:spacing w:before="2"/>
              <w:ind w:left="108" w:right="117"/>
              <w:rPr>
                <w:sz w:val="18"/>
              </w:rPr>
            </w:pPr>
            <w:r>
              <w:rPr>
                <w:sz w:val="18"/>
              </w:rPr>
              <w:t xml:space="preserve">planning for Indigenous participation. Meetings were held with participating PBCs for planning purposes prior to commencing the fieldwork phase of the project. Individual TOs participated in planning the research approach and </w:t>
            </w:r>
            <w:r>
              <w:rPr>
                <w:sz w:val="18"/>
              </w:rPr>
              <w:t>outputs for the part of the project involving them.</w:t>
            </w:r>
          </w:p>
        </w:tc>
      </w:tr>
    </w:tbl>
    <w:p w14:paraId="68662361" w14:textId="77777777" w:rsidR="00014A44" w:rsidRDefault="00014A44">
      <w:pPr>
        <w:rPr>
          <w:sz w:val="18"/>
        </w:rPr>
        <w:sectPr w:rsidR="00014A44">
          <w:pgSz w:w="11910" w:h="16840"/>
          <w:pgMar w:top="1420" w:right="980" w:bottom="1180" w:left="1300" w:header="0" w:footer="986" w:gutter="0"/>
          <w:cols w:space="720"/>
        </w:sectPr>
      </w:pPr>
    </w:p>
    <w:tbl>
      <w:tblPr>
        <w:tblW w:w="0" w:type="auto"/>
        <w:tblInd w:w="15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852"/>
        <w:gridCol w:w="2741"/>
        <w:gridCol w:w="5758"/>
      </w:tblGrid>
      <w:tr w:rsidR="00014A44" w14:paraId="27CBD3F7" w14:textId="77777777">
        <w:trPr>
          <w:trHeight w:val="729"/>
        </w:trPr>
        <w:tc>
          <w:tcPr>
            <w:tcW w:w="852" w:type="dxa"/>
            <w:shd w:val="clear" w:color="auto" w:fill="E7FFBD"/>
          </w:tcPr>
          <w:p w14:paraId="31683AE6" w14:textId="77777777" w:rsidR="00014A44" w:rsidRPr="00345AF3" w:rsidRDefault="00345AF3">
            <w:pPr>
              <w:pStyle w:val="TableParagraph"/>
              <w:spacing w:before="121"/>
              <w:ind w:left="215"/>
              <w:rPr>
                <w:b/>
                <w:bCs/>
                <w:sz w:val="20"/>
              </w:rPr>
            </w:pPr>
            <w:r w:rsidRPr="00345AF3">
              <w:rPr>
                <w:b/>
                <w:bCs/>
                <w:sz w:val="20"/>
              </w:rPr>
              <w:lastRenderedPageBreak/>
              <w:t>NESP</w:t>
            </w:r>
          </w:p>
          <w:p w14:paraId="06A84A4C" w14:textId="77777777" w:rsidR="00014A44" w:rsidRPr="00345AF3" w:rsidRDefault="00345AF3">
            <w:pPr>
              <w:pStyle w:val="TableParagraph"/>
              <w:spacing w:before="1"/>
              <w:ind w:left="259"/>
              <w:rPr>
                <w:b/>
                <w:bCs/>
                <w:sz w:val="20"/>
              </w:rPr>
            </w:pPr>
            <w:r w:rsidRPr="00345AF3">
              <w:rPr>
                <w:b/>
                <w:bCs/>
                <w:sz w:val="20"/>
              </w:rPr>
              <w:t>Hub</w:t>
            </w:r>
          </w:p>
        </w:tc>
        <w:tc>
          <w:tcPr>
            <w:tcW w:w="2741" w:type="dxa"/>
            <w:shd w:val="clear" w:color="auto" w:fill="E7FFBD"/>
          </w:tcPr>
          <w:p w14:paraId="0136F6B1" w14:textId="77777777" w:rsidR="00014A44" w:rsidRPr="00345AF3" w:rsidRDefault="00014A44">
            <w:pPr>
              <w:pStyle w:val="TableParagraph"/>
              <w:spacing w:before="0"/>
              <w:ind w:left="0"/>
              <w:rPr>
                <w:b/>
                <w:bCs/>
                <w:sz w:val="20"/>
              </w:rPr>
            </w:pPr>
          </w:p>
          <w:p w14:paraId="34A296CE" w14:textId="77777777" w:rsidR="00014A44" w:rsidRPr="00345AF3" w:rsidRDefault="00345AF3">
            <w:pPr>
              <w:pStyle w:val="TableParagraph"/>
              <w:spacing w:before="0"/>
              <w:rPr>
                <w:b/>
                <w:bCs/>
                <w:sz w:val="20"/>
              </w:rPr>
            </w:pPr>
            <w:r w:rsidRPr="00345AF3">
              <w:rPr>
                <w:b/>
                <w:bCs/>
                <w:sz w:val="20"/>
              </w:rPr>
              <w:t>Project No.</w:t>
            </w:r>
          </w:p>
        </w:tc>
        <w:tc>
          <w:tcPr>
            <w:tcW w:w="5758" w:type="dxa"/>
            <w:shd w:val="clear" w:color="auto" w:fill="E7FFBD"/>
          </w:tcPr>
          <w:p w14:paraId="5C8020A5" w14:textId="77777777" w:rsidR="00014A44" w:rsidRPr="00345AF3" w:rsidRDefault="00014A44">
            <w:pPr>
              <w:pStyle w:val="TableParagraph"/>
              <w:spacing w:before="0"/>
              <w:ind w:left="0"/>
              <w:rPr>
                <w:b/>
                <w:bCs/>
                <w:sz w:val="20"/>
              </w:rPr>
            </w:pPr>
          </w:p>
          <w:p w14:paraId="3A714E0B" w14:textId="77777777" w:rsidR="00014A44" w:rsidRPr="00345AF3" w:rsidRDefault="00345AF3">
            <w:pPr>
              <w:pStyle w:val="TableParagraph"/>
              <w:spacing w:before="0"/>
              <w:ind w:left="108"/>
              <w:rPr>
                <w:b/>
                <w:bCs/>
                <w:sz w:val="20"/>
              </w:rPr>
            </w:pPr>
            <w:r w:rsidRPr="00345AF3">
              <w:rPr>
                <w:b/>
                <w:bCs/>
                <w:sz w:val="20"/>
              </w:rPr>
              <w:t>Details of ‘Indigenous led’</w:t>
            </w:r>
          </w:p>
        </w:tc>
      </w:tr>
      <w:tr w:rsidR="00014A44" w14:paraId="30D1F42F" w14:textId="77777777">
        <w:trPr>
          <w:trHeight w:val="738"/>
        </w:trPr>
        <w:tc>
          <w:tcPr>
            <w:tcW w:w="852" w:type="dxa"/>
            <w:vMerge w:val="restart"/>
          </w:tcPr>
          <w:p w14:paraId="518F67A5" w14:textId="77777777" w:rsidR="00014A44" w:rsidRDefault="00014A44">
            <w:pPr>
              <w:pStyle w:val="TableParagraph"/>
              <w:spacing w:before="0"/>
              <w:ind w:left="0"/>
              <w:rPr>
                <w:rFonts w:ascii="Times New Roman"/>
                <w:sz w:val="18"/>
              </w:rPr>
            </w:pPr>
          </w:p>
        </w:tc>
        <w:tc>
          <w:tcPr>
            <w:tcW w:w="2741" w:type="dxa"/>
          </w:tcPr>
          <w:p w14:paraId="058818A2" w14:textId="77777777" w:rsidR="00014A44" w:rsidRDefault="00345AF3">
            <w:pPr>
              <w:pStyle w:val="TableParagraph"/>
              <w:ind w:right="109"/>
              <w:rPr>
                <w:sz w:val="18"/>
              </w:rPr>
            </w:pPr>
            <w:r w:rsidRPr="00345AF3">
              <w:rPr>
                <w:b/>
                <w:bCs/>
                <w:sz w:val="18"/>
              </w:rPr>
              <w:t>2.5</w:t>
            </w:r>
            <w:r>
              <w:rPr>
                <w:sz w:val="18"/>
              </w:rPr>
              <w:t xml:space="preserve"> Defining Metrics of Success for Feral Animal Management in Northern Australia</w:t>
            </w:r>
          </w:p>
        </w:tc>
        <w:tc>
          <w:tcPr>
            <w:tcW w:w="5758" w:type="dxa"/>
          </w:tcPr>
          <w:p w14:paraId="5125C3B6" w14:textId="77777777" w:rsidR="00014A44" w:rsidRDefault="00345AF3">
            <w:pPr>
              <w:pStyle w:val="TableParagraph"/>
              <w:ind w:left="108" w:right="648"/>
              <w:rPr>
                <w:sz w:val="18"/>
              </w:rPr>
            </w:pPr>
            <w:r>
              <w:rPr>
                <w:sz w:val="18"/>
              </w:rPr>
              <w:t xml:space="preserve">This project was co-developed with traditional </w:t>
            </w:r>
            <w:proofErr w:type="gramStart"/>
            <w:r>
              <w:rPr>
                <w:sz w:val="18"/>
              </w:rPr>
              <w:t>owners, and</w:t>
            </w:r>
            <w:proofErr w:type="gramEnd"/>
            <w:r>
              <w:rPr>
                <w:sz w:val="18"/>
              </w:rPr>
              <w:t xml:space="preserve"> builds on previous work in areas where the researcher has strong, existing relationships.</w:t>
            </w:r>
          </w:p>
        </w:tc>
      </w:tr>
      <w:tr w:rsidR="00014A44" w14:paraId="51FC6A87" w14:textId="77777777">
        <w:trPr>
          <w:trHeight w:val="1178"/>
        </w:trPr>
        <w:tc>
          <w:tcPr>
            <w:tcW w:w="852" w:type="dxa"/>
            <w:vMerge/>
            <w:tcBorders>
              <w:top w:val="nil"/>
            </w:tcBorders>
          </w:tcPr>
          <w:p w14:paraId="01918B77" w14:textId="77777777" w:rsidR="00014A44" w:rsidRDefault="00014A44">
            <w:pPr>
              <w:rPr>
                <w:sz w:val="2"/>
                <w:szCs w:val="2"/>
              </w:rPr>
            </w:pPr>
          </w:p>
        </w:tc>
        <w:tc>
          <w:tcPr>
            <w:tcW w:w="2741" w:type="dxa"/>
          </w:tcPr>
          <w:p w14:paraId="47A00648" w14:textId="77777777" w:rsidR="00014A44" w:rsidRDefault="00345AF3">
            <w:pPr>
              <w:pStyle w:val="TableParagraph"/>
              <w:ind w:right="307"/>
              <w:rPr>
                <w:sz w:val="18"/>
              </w:rPr>
            </w:pPr>
            <w:r w:rsidRPr="00345AF3">
              <w:rPr>
                <w:b/>
                <w:bCs/>
                <w:sz w:val="18"/>
              </w:rPr>
              <w:t>5.3</w:t>
            </w:r>
            <w:r>
              <w:rPr>
                <w:sz w:val="18"/>
              </w:rPr>
              <w:t xml:space="preserve"> Multiple Benefits of Indigenous Land and Sea Management Programs (ILSMP)</w:t>
            </w:r>
          </w:p>
        </w:tc>
        <w:tc>
          <w:tcPr>
            <w:tcW w:w="5758" w:type="dxa"/>
          </w:tcPr>
          <w:p w14:paraId="611DDEE2" w14:textId="77777777" w:rsidR="00014A44" w:rsidRDefault="00345AF3">
            <w:pPr>
              <w:pStyle w:val="TableParagraph"/>
              <w:ind w:left="108" w:right="99"/>
              <w:rPr>
                <w:sz w:val="18"/>
              </w:rPr>
            </w:pPr>
            <w:r>
              <w:rPr>
                <w:sz w:val="18"/>
              </w:rPr>
              <w:t xml:space="preserve">This project partnered with </w:t>
            </w:r>
            <w:proofErr w:type="spellStart"/>
            <w:r>
              <w:rPr>
                <w:sz w:val="18"/>
              </w:rPr>
              <w:t>Bunuba</w:t>
            </w:r>
            <w:proofErr w:type="spellEnd"/>
            <w:r>
              <w:rPr>
                <w:sz w:val="18"/>
              </w:rPr>
              <w:t xml:space="preserve">, </w:t>
            </w:r>
            <w:proofErr w:type="spellStart"/>
            <w:r>
              <w:rPr>
                <w:sz w:val="18"/>
              </w:rPr>
              <w:t>Gooniyandi</w:t>
            </w:r>
            <w:proofErr w:type="spellEnd"/>
            <w:r>
              <w:rPr>
                <w:sz w:val="18"/>
              </w:rPr>
              <w:t xml:space="preserve">, </w:t>
            </w:r>
            <w:proofErr w:type="spellStart"/>
            <w:r>
              <w:rPr>
                <w:sz w:val="18"/>
              </w:rPr>
              <w:t>Yanunijarra</w:t>
            </w:r>
            <w:proofErr w:type="spellEnd"/>
            <w:r>
              <w:rPr>
                <w:sz w:val="18"/>
              </w:rPr>
              <w:t xml:space="preserve"> and </w:t>
            </w:r>
            <w:proofErr w:type="spellStart"/>
            <w:r>
              <w:rPr>
                <w:sz w:val="18"/>
              </w:rPr>
              <w:t>Nyikina</w:t>
            </w:r>
            <w:proofErr w:type="spellEnd"/>
            <w:r>
              <w:rPr>
                <w:sz w:val="18"/>
              </w:rPr>
              <w:t xml:space="preserve">- Mangala Traditional Owners in WA, and with </w:t>
            </w:r>
            <w:proofErr w:type="spellStart"/>
            <w:r>
              <w:rPr>
                <w:sz w:val="18"/>
              </w:rPr>
              <w:t>Ewamian</w:t>
            </w:r>
            <w:proofErr w:type="spellEnd"/>
            <w:r>
              <w:rPr>
                <w:sz w:val="18"/>
              </w:rPr>
              <w:t xml:space="preserve"> Traditional Owners in Qld to provide quantified and com</w:t>
            </w:r>
            <w:r>
              <w:rPr>
                <w:sz w:val="18"/>
              </w:rPr>
              <w:t>parable information about multiple, local to national scale socio-economic and wellbeing benefits associated with ILSMPs.</w:t>
            </w:r>
          </w:p>
        </w:tc>
      </w:tr>
      <w:tr w:rsidR="00014A44" w14:paraId="41564D71" w14:textId="77777777">
        <w:trPr>
          <w:trHeight w:val="738"/>
        </w:trPr>
        <w:tc>
          <w:tcPr>
            <w:tcW w:w="852" w:type="dxa"/>
            <w:vMerge/>
            <w:tcBorders>
              <w:top w:val="nil"/>
            </w:tcBorders>
          </w:tcPr>
          <w:p w14:paraId="5B8FA27F" w14:textId="77777777" w:rsidR="00014A44" w:rsidRDefault="00014A44">
            <w:pPr>
              <w:rPr>
                <w:sz w:val="2"/>
                <w:szCs w:val="2"/>
              </w:rPr>
            </w:pPr>
          </w:p>
        </w:tc>
        <w:tc>
          <w:tcPr>
            <w:tcW w:w="2741" w:type="dxa"/>
          </w:tcPr>
          <w:p w14:paraId="3059B9BB" w14:textId="77777777" w:rsidR="00014A44" w:rsidRDefault="00345AF3">
            <w:pPr>
              <w:pStyle w:val="TableParagraph"/>
              <w:ind w:right="408"/>
              <w:rPr>
                <w:sz w:val="18"/>
              </w:rPr>
            </w:pPr>
            <w:r w:rsidRPr="00345AF3">
              <w:rPr>
                <w:b/>
                <w:bCs/>
                <w:sz w:val="18"/>
              </w:rPr>
              <w:t>5.4</w:t>
            </w:r>
            <w:r>
              <w:rPr>
                <w:sz w:val="18"/>
              </w:rPr>
              <w:t xml:space="preserve"> Knowledge Brokering for Indigenous Land Management</w:t>
            </w:r>
          </w:p>
        </w:tc>
        <w:tc>
          <w:tcPr>
            <w:tcW w:w="5758" w:type="dxa"/>
          </w:tcPr>
          <w:p w14:paraId="7D36FB5E" w14:textId="77777777" w:rsidR="00014A44" w:rsidRDefault="00345AF3">
            <w:pPr>
              <w:pStyle w:val="TableParagraph"/>
              <w:ind w:left="108"/>
              <w:rPr>
                <w:sz w:val="18"/>
              </w:rPr>
            </w:pPr>
            <w:r>
              <w:rPr>
                <w:sz w:val="18"/>
              </w:rPr>
              <w:t xml:space="preserve">Indigenous-led project methodology. The project was preceded by a co- planning meeting prior to the commencement of the workshop phase. </w:t>
            </w:r>
            <w:r>
              <w:rPr>
                <w:i/>
                <w:sz w:val="18"/>
              </w:rPr>
              <w:t xml:space="preserve">Our Knowledge Our Way Guidelines </w:t>
            </w:r>
            <w:r>
              <w:rPr>
                <w:sz w:val="18"/>
              </w:rPr>
              <w:t>Indigenous-led and co-authored.</w:t>
            </w:r>
          </w:p>
        </w:tc>
      </w:tr>
      <w:tr w:rsidR="00014A44" w14:paraId="45114F3B" w14:textId="77777777">
        <w:trPr>
          <w:trHeight w:val="960"/>
        </w:trPr>
        <w:tc>
          <w:tcPr>
            <w:tcW w:w="852" w:type="dxa"/>
            <w:vMerge/>
            <w:tcBorders>
              <w:top w:val="nil"/>
            </w:tcBorders>
          </w:tcPr>
          <w:p w14:paraId="26E5D17A" w14:textId="77777777" w:rsidR="00014A44" w:rsidRDefault="00014A44">
            <w:pPr>
              <w:rPr>
                <w:sz w:val="2"/>
                <w:szCs w:val="2"/>
              </w:rPr>
            </w:pPr>
          </w:p>
        </w:tc>
        <w:tc>
          <w:tcPr>
            <w:tcW w:w="2741" w:type="dxa"/>
          </w:tcPr>
          <w:p w14:paraId="59A1FE99" w14:textId="77777777" w:rsidR="00014A44" w:rsidRDefault="00345AF3">
            <w:pPr>
              <w:pStyle w:val="TableParagraph"/>
              <w:ind w:right="385"/>
              <w:rPr>
                <w:sz w:val="18"/>
              </w:rPr>
            </w:pPr>
            <w:r w:rsidRPr="00345AF3">
              <w:rPr>
                <w:b/>
                <w:bCs/>
                <w:sz w:val="18"/>
              </w:rPr>
              <w:t>5.5</w:t>
            </w:r>
            <w:r>
              <w:rPr>
                <w:sz w:val="18"/>
              </w:rPr>
              <w:t xml:space="preserve"> Phase 1 </w:t>
            </w:r>
            <w:proofErr w:type="spellStart"/>
            <w:r>
              <w:rPr>
                <w:sz w:val="18"/>
              </w:rPr>
              <w:t>Bininj</w:t>
            </w:r>
            <w:proofErr w:type="spellEnd"/>
            <w:r>
              <w:rPr>
                <w:sz w:val="18"/>
              </w:rPr>
              <w:t>/</w:t>
            </w:r>
            <w:proofErr w:type="spellStart"/>
            <w:r>
              <w:rPr>
                <w:sz w:val="18"/>
              </w:rPr>
              <w:t>Mungguy</w:t>
            </w:r>
            <w:proofErr w:type="spellEnd"/>
            <w:r>
              <w:rPr>
                <w:sz w:val="18"/>
              </w:rPr>
              <w:t xml:space="preserve"> Natural resource management research priorities for Kakadu National Park</w:t>
            </w:r>
          </w:p>
        </w:tc>
        <w:tc>
          <w:tcPr>
            <w:tcW w:w="5758" w:type="dxa"/>
          </w:tcPr>
          <w:p w14:paraId="36B12626" w14:textId="77777777" w:rsidR="00014A44" w:rsidRDefault="00345AF3">
            <w:pPr>
              <w:pStyle w:val="TableParagraph"/>
              <w:ind w:left="108" w:right="395"/>
              <w:rPr>
                <w:sz w:val="18"/>
              </w:rPr>
            </w:pPr>
            <w:r>
              <w:rPr>
                <w:sz w:val="18"/>
              </w:rPr>
              <w:t xml:space="preserve">Project approved by Kakadu Board of Management (indigenous majority Board) and a </w:t>
            </w:r>
            <w:proofErr w:type="spellStart"/>
            <w:r>
              <w:rPr>
                <w:sz w:val="18"/>
              </w:rPr>
              <w:t>Bininj</w:t>
            </w:r>
            <w:proofErr w:type="spellEnd"/>
            <w:r>
              <w:rPr>
                <w:sz w:val="18"/>
              </w:rPr>
              <w:t>/</w:t>
            </w:r>
            <w:proofErr w:type="spellStart"/>
            <w:r>
              <w:rPr>
                <w:sz w:val="18"/>
              </w:rPr>
              <w:t>Mungguy</w:t>
            </w:r>
            <w:proofErr w:type="spellEnd"/>
            <w:r>
              <w:rPr>
                <w:sz w:val="18"/>
              </w:rPr>
              <w:t xml:space="preserve"> Steering Committee was formed to review findings from the de</w:t>
            </w:r>
            <w:r>
              <w:rPr>
                <w:sz w:val="18"/>
              </w:rPr>
              <w:t>sktop study and set and prioritise Indigenous NRM research topics.</w:t>
            </w:r>
          </w:p>
        </w:tc>
      </w:tr>
      <w:tr w:rsidR="00014A44" w14:paraId="645AF11D" w14:textId="77777777">
        <w:trPr>
          <w:trHeight w:val="520"/>
        </w:trPr>
        <w:tc>
          <w:tcPr>
            <w:tcW w:w="852" w:type="dxa"/>
            <w:vMerge/>
            <w:tcBorders>
              <w:top w:val="nil"/>
            </w:tcBorders>
          </w:tcPr>
          <w:p w14:paraId="44195297" w14:textId="77777777" w:rsidR="00014A44" w:rsidRDefault="00014A44">
            <w:pPr>
              <w:rPr>
                <w:sz w:val="2"/>
                <w:szCs w:val="2"/>
              </w:rPr>
            </w:pPr>
          </w:p>
        </w:tc>
        <w:tc>
          <w:tcPr>
            <w:tcW w:w="2741" w:type="dxa"/>
          </w:tcPr>
          <w:p w14:paraId="1A8241A0" w14:textId="77777777" w:rsidR="00014A44" w:rsidRDefault="00345AF3">
            <w:pPr>
              <w:pStyle w:val="TableParagraph"/>
              <w:ind w:right="585"/>
              <w:rPr>
                <w:sz w:val="18"/>
              </w:rPr>
            </w:pPr>
            <w:r w:rsidRPr="00345AF3">
              <w:rPr>
                <w:b/>
                <w:bCs/>
                <w:sz w:val="18"/>
              </w:rPr>
              <w:t>5.5</w:t>
            </w:r>
            <w:r>
              <w:rPr>
                <w:sz w:val="18"/>
              </w:rPr>
              <w:t xml:space="preserve"> Phase 2 </w:t>
            </w:r>
            <w:proofErr w:type="spellStart"/>
            <w:r>
              <w:rPr>
                <w:sz w:val="18"/>
              </w:rPr>
              <w:t>Bininj</w:t>
            </w:r>
            <w:proofErr w:type="spellEnd"/>
            <w:r>
              <w:rPr>
                <w:sz w:val="18"/>
              </w:rPr>
              <w:t>/</w:t>
            </w:r>
            <w:proofErr w:type="spellStart"/>
            <w:r>
              <w:rPr>
                <w:sz w:val="18"/>
              </w:rPr>
              <w:t>Mungguy</w:t>
            </w:r>
            <w:proofErr w:type="spellEnd"/>
            <w:r>
              <w:rPr>
                <w:sz w:val="18"/>
              </w:rPr>
              <w:t xml:space="preserve"> Healthy Country Indicators</w:t>
            </w:r>
          </w:p>
        </w:tc>
        <w:tc>
          <w:tcPr>
            <w:tcW w:w="5758" w:type="dxa"/>
          </w:tcPr>
          <w:p w14:paraId="121C57A4" w14:textId="77777777" w:rsidR="00014A44" w:rsidRDefault="00345AF3">
            <w:pPr>
              <w:pStyle w:val="TableParagraph"/>
              <w:ind w:left="108" w:right="613"/>
              <w:rPr>
                <w:sz w:val="18"/>
              </w:rPr>
            </w:pPr>
            <w:proofErr w:type="spellStart"/>
            <w:r>
              <w:rPr>
                <w:sz w:val="18"/>
              </w:rPr>
              <w:t>Bininj</w:t>
            </w:r>
            <w:proofErr w:type="spellEnd"/>
            <w:r>
              <w:rPr>
                <w:sz w:val="18"/>
              </w:rPr>
              <w:t>/</w:t>
            </w:r>
            <w:proofErr w:type="spellStart"/>
            <w:r>
              <w:rPr>
                <w:sz w:val="18"/>
              </w:rPr>
              <w:t>Mungguy</w:t>
            </w:r>
            <w:proofErr w:type="spellEnd"/>
            <w:r>
              <w:rPr>
                <w:sz w:val="18"/>
              </w:rPr>
              <w:t xml:space="preserve"> Traditional Owners led the co-design of this research project through their Steering Committee.</w:t>
            </w:r>
          </w:p>
        </w:tc>
      </w:tr>
      <w:tr w:rsidR="00014A44" w14:paraId="6C83974B" w14:textId="77777777">
        <w:trPr>
          <w:trHeight w:val="1177"/>
        </w:trPr>
        <w:tc>
          <w:tcPr>
            <w:tcW w:w="852" w:type="dxa"/>
            <w:vMerge/>
            <w:tcBorders>
              <w:top w:val="nil"/>
            </w:tcBorders>
          </w:tcPr>
          <w:p w14:paraId="0FE0CAC4" w14:textId="77777777" w:rsidR="00014A44" w:rsidRDefault="00014A44">
            <w:pPr>
              <w:rPr>
                <w:sz w:val="2"/>
                <w:szCs w:val="2"/>
              </w:rPr>
            </w:pPr>
          </w:p>
        </w:tc>
        <w:tc>
          <w:tcPr>
            <w:tcW w:w="2741" w:type="dxa"/>
          </w:tcPr>
          <w:p w14:paraId="3DCF83E4" w14:textId="77777777" w:rsidR="00014A44" w:rsidRDefault="00345AF3">
            <w:pPr>
              <w:pStyle w:val="TableParagraph"/>
              <w:ind w:right="86"/>
              <w:rPr>
                <w:sz w:val="18"/>
              </w:rPr>
            </w:pPr>
            <w:r w:rsidRPr="00345AF3">
              <w:rPr>
                <w:b/>
                <w:bCs/>
                <w:sz w:val="18"/>
              </w:rPr>
              <w:t>5.6</w:t>
            </w:r>
            <w:r>
              <w:rPr>
                <w:sz w:val="18"/>
              </w:rPr>
              <w:t xml:space="preserve"> Investing in Indigenous cultural and natural resource managers</w:t>
            </w:r>
          </w:p>
        </w:tc>
        <w:tc>
          <w:tcPr>
            <w:tcW w:w="5758" w:type="dxa"/>
          </w:tcPr>
          <w:p w14:paraId="5D038EA1" w14:textId="77777777" w:rsidR="00014A44" w:rsidRDefault="00345AF3">
            <w:pPr>
              <w:pStyle w:val="TableParagraph"/>
              <w:ind w:left="108" w:right="97"/>
              <w:rPr>
                <w:sz w:val="18"/>
              </w:rPr>
            </w:pPr>
            <w:r>
              <w:rPr>
                <w:sz w:val="18"/>
              </w:rPr>
              <w:t xml:space="preserve">Indigenous Steering Committee, Indigenous led project methodology. Co- developed information sheets for policy makers, investor friendly products, guidelines for adapting existing metrics and reporting, scientific publications, </w:t>
            </w:r>
            <w:proofErr w:type="gramStart"/>
            <w:r>
              <w:rPr>
                <w:sz w:val="18"/>
              </w:rPr>
              <w:t>brochures</w:t>
            </w:r>
            <w:proofErr w:type="gramEnd"/>
            <w:r>
              <w:rPr>
                <w:sz w:val="18"/>
              </w:rPr>
              <w:t xml:space="preserve"> and fact sheets.  </w:t>
            </w:r>
            <w:r>
              <w:rPr>
                <w:sz w:val="18"/>
              </w:rPr>
              <w:t>Co-developed participatory methods, workshops, project updates, project steering</w:t>
            </w:r>
            <w:r>
              <w:rPr>
                <w:spacing w:val="-8"/>
                <w:sz w:val="18"/>
              </w:rPr>
              <w:t xml:space="preserve"> </w:t>
            </w:r>
            <w:r>
              <w:rPr>
                <w:sz w:val="18"/>
              </w:rPr>
              <w:t>committee.</w:t>
            </w:r>
          </w:p>
        </w:tc>
      </w:tr>
      <w:tr w:rsidR="00014A44" w14:paraId="1203967D" w14:textId="77777777">
        <w:trPr>
          <w:trHeight w:val="1617"/>
        </w:trPr>
        <w:tc>
          <w:tcPr>
            <w:tcW w:w="852" w:type="dxa"/>
            <w:vMerge/>
            <w:tcBorders>
              <w:top w:val="nil"/>
            </w:tcBorders>
          </w:tcPr>
          <w:p w14:paraId="0F500C2A" w14:textId="77777777" w:rsidR="00014A44" w:rsidRDefault="00014A44">
            <w:pPr>
              <w:rPr>
                <w:sz w:val="2"/>
                <w:szCs w:val="2"/>
              </w:rPr>
            </w:pPr>
          </w:p>
        </w:tc>
        <w:tc>
          <w:tcPr>
            <w:tcW w:w="2741" w:type="dxa"/>
          </w:tcPr>
          <w:p w14:paraId="0CEF5ABD" w14:textId="77777777" w:rsidR="00014A44" w:rsidRDefault="00345AF3">
            <w:pPr>
              <w:pStyle w:val="TableParagraph"/>
              <w:rPr>
                <w:sz w:val="18"/>
              </w:rPr>
            </w:pPr>
            <w:r w:rsidRPr="00345AF3">
              <w:rPr>
                <w:b/>
                <w:bCs/>
                <w:sz w:val="18"/>
              </w:rPr>
              <w:t>6.3.3</w:t>
            </w:r>
            <w:r>
              <w:rPr>
                <w:sz w:val="18"/>
              </w:rPr>
              <w:t xml:space="preserve"> Cultural Connections</w:t>
            </w:r>
          </w:p>
        </w:tc>
        <w:tc>
          <w:tcPr>
            <w:tcW w:w="5758" w:type="dxa"/>
          </w:tcPr>
          <w:p w14:paraId="5578AFF8" w14:textId="77777777" w:rsidR="00014A44" w:rsidRDefault="00345AF3">
            <w:pPr>
              <w:pStyle w:val="TableParagraph"/>
              <w:ind w:left="108" w:right="200"/>
              <w:rPr>
                <w:sz w:val="18"/>
              </w:rPr>
            </w:pPr>
            <w:r>
              <w:rPr>
                <w:sz w:val="18"/>
              </w:rPr>
              <w:t xml:space="preserve">This project partnered with </w:t>
            </w:r>
            <w:proofErr w:type="spellStart"/>
            <w:r>
              <w:rPr>
                <w:sz w:val="18"/>
              </w:rPr>
              <w:t>Ewamian</w:t>
            </w:r>
            <w:proofErr w:type="spellEnd"/>
            <w:r>
              <w:rPr>
                <w:sz w:val="18"/>
              </w:rPr>
              <w:t xml:space="preserve"> Traditional Owners in Qld and with </w:t>
            </w:r>
            <w:proofErr w:type="spellStart"/>
            <w:r>
              <w:rPr>
                <w:sz w:val="18"/>
              </w:rPr>
              <w:t>Bininj</w:t>
            </w:r>
            <w:proofErr w:type="spellEnd"/>
            <w:r>
              <w:rPr>
                <w:sz w:val="18"/>
              </w:rPr>
              <w:t>/</w:t>
            </w:r>
            <w:proofErr w:type="spellStart"/>
            <w:r>
              <w:rPr>
                <w:sz w:val="18"/>
              </w:rPr>
              <w:t>Mungguy</w:t>
            </w:r>
            <w:proofErr w:type="spellEnd"/>
            <w:r>
              <w:rPr>
                <w:sz w:val="18"/>
              </w:rPr>
              <w:t xml:space="preserve"> Traditional Owners in the NT and the Indigenous Research Committee for Kakadu National Park. The lead researcher worked with the </w:t>
            </w:r>
            <w:proofErr w:type="spellStart"/>
            <w:r>
              <w:rPr>
                <w:sz w:val="18"/>
              </w:rPr>
              <w:t>Ewamian</w:t>
            </w:r>
            <w:proofErr w:type="spellEnd"/>
            <w:r>
              <w:rPr>
                <w:sz w:val="18"/>
              </w:rPr>
              <w:t xml:space="preserve"> Aboriginal Corporation to co-deve</w:t>
            </w:r>
            <w:r>
              <w:rPr>
                <w:sz w:val="18"/>
              </w:rPr>
              <w:t>lop the project methodology as phase 1. In phase 2 the Indigenous Research Committee for Kakadu National Park assisted with refining the methodology and data collection within the Park.</w:t>
            </w:r>
          </w:p>
        </w:tc>
      </w:tr>
      <w:tr w:rsidR="00014A44" w14:paraId="52BF062E" w14:textId="77777777">
        <w:trPr>
          <w:trHeight w:val="484"/>
        </w:trPr>
        <w:tc>
          <w:tcPr>
            <w:tcW w:w="9351" w:type="dxa"/>
            <w:gridSpan w:val="3"/>
            <w:shd w:val="clear" w:color="auto" w:fill="E7FFBD"/>
          </w:tcPr>
          <w:p w14:paraId="2EB0E146" w14:textId="77777777" w:rsidR="00014A44" w:rsidRPr="00345AF3" w:rsidRDefault="00345AF3">
            <w:pPr>
              <w:pStyle w:val="TableParagraph"/>
              <w:spacing w:before="121"/>
              <w:rPr>
                <w:b/>
                <w:bCs/>
                <w:sz w:val="20"/>
              </w:rPr>
            </w:pPr>
            <w:r w:rsidRPr="00345AF3">
              <w:rPr>
                <w:b/>
                <w:bCs/>
                <w:sz w:val="20"/>
              </w:rPr>
              <w:t>TSR</w:t>
            </w:r>
          </w:p>
        </w:tc>
      </w:tr>
      <w:tr w:rsidR="00014A44" w14:paraId="547D74A8" w14:textId="77777777">
        <w:trPr>
          <w:trHeight w:val="520"/>
        </w:trPr>
        <w:tc>
          <w:tcPr>
            <w:tcW w:w="852" w:type="dxa"/>
            <w:vMerge w:val="restart"/>
          </w:tcPr>
          <w:p w14:paraId="055D050E" w14:textId="77777777" w:rsidR="00014A44" w:rsidRDefault="00014A44">
            <w:pPr>
              <w:pStyle w:val="TableParagraph"/>
              <w:spacing w:before="0"/>
              <w:ind w:left="0"/>
              <w:rPr>
                <w:rFonts w:ascii="Times New Roman"/>
                <w:sz w:val="18"/>
              </w:rPr>
            </w:pPr>
          </w:p>
        </w:tc>
        <w:tc>
          <w:tcPr>
            <w:tcW w:w="2741" w:type="dxa"/>
          </w:tcPr>
          <w:p w14:paraId="5C97A49B" w14:textId="77777777" w:rsidR="00014A44" w:rsidRDefault="00345AF3">
            <w:pPr>
              <w:pStyle w:val="TableParagraph"/>
              <w:ind w:right="401"/>
              <w:rPr>
                <w:sz w:val="18"/>
              </w:rPr>
            </w:pPr>
            <w:r w:rsidRPr="00345AF3">
              <w:rPr>
                <w:b/>
                <w:bCs/>
                <w:sz w:val="18"/>
              </w:rPr>
              <w:t>3.2.2.2</w:t>
            </w:r>
            <w:r>
              <w:rPr>
                <w:sz w:val="18"/>
              </w:rPr>
              <w:t xml:space="preserve"> Monitoring threatened species in IPAs</w:t>
            </w:r>
          </w:p>
        </w:tc>
        <w:tc>
          <w:tcPr>
            <w:tcW w:w="5758" w:type="dxa"/>
          </w:tcPr>
          <w:p w14:paraId="4092A2D4" w14:textId="77777777" w:rsidR="00014A44" w:rsidRDefault="00345AF3">
            <w:pPr>
              <w:pStyle w:val="TableParagraph"/>
              <w:ind w:left="108" w:right="701"/>
              <w:rPr>
                <w:sz w:val="18"/>
              </w:rPr>
            </w:pPr>
            <w:r>
              <w:rPr>
                <w:sz w:val="18"/>
              </w:rPr>
              <w:t>Project co-designed with Indigenous partner: on-going consultation, communication, outputs, training.</w:t>
            </w:r>
          </w:p>
        </w:tc>
      </w:tr>
      <w:tr w:rsidR="00014A44" w14:paraId="3417D9B3" w14:textId="77777777">
        <w:trPr>
          <w:trHeight w:val="1396"/>
        </w:trPr>
        <w:tc>
          <w:tcPr>
            <w:tcW w:w="852" w:type="dxa"/>
            <w:vMerge/>
            <w:tcBorders>
              <w:top w:val="nil"/>
            </w:tcBorders>
          </w:tcPr>
          <w:p w14:paraId="6BF14278" w14:textId="77777777" w:rsidR="00014A44" w:rsidRDefault="00014A44">
            <w:pPr>
              <w:rPr>
                <w:sz w:val="2"/>
                <w:szCs w:val="2"/>
              </w:rPr>
            </w:pPr>
          </w:p>
        </w:tc>
        <w:tc>
          <w:tcPr>
            <w:tcW w:w="2741" w:type="dxa"/>
          </w:tcPr>
          <w:p w14:paraId="218FF5F3" w14:textId="77777777" w:rsidR="00014A44" w:rsidRDefault="00345AF3">
            <w:pPr>
              <w:pStyle w:val="TableParagraph"/>
              <w:ind w:right="289"/>
              <w:rPr>
                <w:sz w:val="18"/>
              </w:rPr>
            </w:pPr>
            <w:r w:rsidRPr="00345AF3">
              <w:rPr>
                <w:b/>
                <w:bCs/>
                <w:sz w:val="18"/>
              </w:rPr>
              <w:t>3.2.5</w:t>
            </w:r>
            <w:r>
              <w:rPr>
                <w:sz w:val="18"/>
              </w:rPr>
              <w:t xml:space="preserve"> Developing a coordinated monitoring program for threatened vertebrates, their </w:t>
            </w:r>
            <w:proofErr w:type="gramStart"/>
            <w:r>
              <w:rPr>
                <w:sz w:val="18"/>
              </w:rPr>
              <w:t>threats</w:t>
            </w:r>
            <w:proofErr w:type="gramEnd"/>
            <w:r>
              <w:rPr>
                <w:sz w:val="18"/>
              </w:rPr>
              <w:t xml:space="preserve"> and the effectiveness of management investment across arid and semi-arid Australia</w:t>
            </w:r>
          </w:p>
        </w:tc>
        <w:tc>
          <w:tcPr>
            <w:tcW w:w="5758" w:type="dxa"/>
          </w:tcPr>
          <w:p w14:paraId="2ADB2499" w14:textId="77777777" w:rsidR="00014A44" w:rsidRDefault="00345AF3">
            <w:pPr>
              <w:pStyle w:val="TableParagraph"/>
              <w:ind w:left="108" w:right="183"/>
              <w:rPr>
                <w:sz w:val="18"/>
              </w:rPr>
            </w:pPr>
            <w:r>
              <w:rPr>
                <w:sz w:val="18"/>
              </w:rPr>
              <w:t xml:space="preserve">The project was co-directed by </w:t>
            </w:r>
            <w:proofErr w:type="spellStart"/>
            <w:r>
              <w:rPr>
                <w:sz w:val="18"/>
              </w:rPr>
              <w:t>Martu</w:t>
            </w:r>
            <w:proofErr w:type="spellEnd"/>
            <w:r>
              <w:rPr>
                <w:sz w:val="18"/>
              </w:rPr>
              <w:t xml:space="preserve"> to guide the development of methodology and </w:t>
            </w:r>
            <w:r>
              <w:rPr>
                <w:sz w:val="18"/>
              </w:rPr>
              <w:t xml:space="preserve">ensure that outputs are useful to end-users including on- going consultation, communication, </w:t>
            </w:r>
            <w:proofErr w:type="gramStart"/>
            <w:r>
              <w:rPr>
                <w:sz w:val="18"/>
              </w:rPr>
              <w:t>outputs</w:t>
            </w:r>
            <w:proofErr w:type="gramEnd"/>
            <w:r>
              <w:rPr>
                <w:sz w:val="18"/>
              </w:rPr>
              <w:t xml:space="preserve"> and training.</w:t>
            </w:r>
          </w:p>
        </w:tc>
      </w:tr>
      <w:tr w:rsidR="00014A44" w14:paraId="6C238C61" w14:textId="77777777">
        <w:trPr>
          <w:trHeight w:val="741"/>
        </w:trPr>
        <w:tc>
          <w:tcPr>
            <w:tcW w:w="852" w:type="dxa"/>
            <w:vMerge/>
            <w:tcBorders>
              <w:top w:val="nil"/>
            </w:tcBorders>
          </w:tcPr>
          <w:p w14:paraId="120772E2" w14:textId="77777777" w:rsidR="00014A44" w:rsidRDefault="00014A44">
            <w:pPr>
              <w:rPr>
                <w:sz w:val="2"/>
                <w:szCs w:val="2"/>
              </w:rPr>
            </w:pPr>
          </w:p>
        </w:tc>
        <w:tc>
          <w:tcPr>
            <w:tcW w:w="2741" w:type="dxa"/>
          </w:tcPr>
          <w:p w14:paraId="42CF0D30" w14:textId="77777777" w:rsidR="00014A44" w:rsidRDefault="00345AF3">
            <w:pPr>
              <w:pStyle w:val="TableParagraph"/>
              <w:spacing w:before="42"/>
              <w:ind w:right="236"/>
              <w:rPr>
                <w:sz w:val="18"/>
              </w:rPr>
            </w:pPr>
            <w:r w:rsidRPr="00345AF3">
              <w:rPr>
                <w:b/>
                <w:bCs/>
                <w:sz w:val="18"/>
              </w:rPr>
              <w:t>3.2.7</w:t>
            </w:r>
            <w:r>
              <w:rPr>
                <w:sz w:val="18"/>
              </w:rPr>
              <w:t xml:space="preserve"> Managing </w:t>
            </w:r>
            <w:proofErr w:type="spellStart"/>
            <w:r>
              <w:rPr>
                <w:sz w:val="18"/>
              </w:rPr>
              <w:t>Jilas</w:t>
            </w:r>
            <w:proofErr w:type="spellEnd"/>
            <w:r>
              <w:rPr>
                <w:sz w:val="18"/>
              </w:rPr>
              <w:t xml:space="preserve"> on </w:t>
            </w:r>
            <w:proofErr w:type="spellStart"/>
            <w:r>
              <w:rPr>
                <w:sz w:val="18"/>
              </w:rPr>
              <w:t>Ngurrara</w:t>
            </w:r>
            <w:proofErr w:type="spellEnd"/>
            <w:r>
              <w:rPr>
                <w:sz w:val="18"/>
              </w:rPr>
              <w:t xml:space="preserve"> Country</w:t>
            </w:r>
          </w:p>
        </w:tc>
        <w:tc>
          <w:tcPr>
            <w:tcW w:w="5758" w:type="dxa"/>
          </w:tcPr>
          <w:p w14:paraId="1C39B00C" w14:textId="77777777" w:rsidR="00014A44" w:rsidRDefault="00345AF3">
            <w:pPr>
              <w:pStyle w:val="TableParagraph"/>
              <w:spacing w:before="42"/>
              <w:ind w:left="108" w:right="139"/>
              <w:rPr>
                <w:sz w:val="18"/>
              </w:rPr>
            </w:pPr>
            <w:r>
              <w:rPr>
                <w:sz w:val="18"/>
              </w:rPr>
              <w:t xml:space="preserve">The project was instigated by </w:t>
            </w:r>
            <w:proofErr w:type="spellStart"/>
            <w:r>
              <w:rPr>
                <w:sz w:val="18"/>
              </w:rPr>
              <w:t>Ngurrara</w:t>
            </w:r>
            <w:proofErr w:type="spellEnd"/>
            <w:r>
              <w:rPr>
                <w:sz w:val="18"/>
              </w:rPr>
              <w:t xml:space="preserve"> Rangers and co-designed with them. Project progress and outcomes discussed with Indigenous ranger groups throughout the year, especially during two on-Country field trips.</w:t>
            </w:r>
          </w:p>
        </w:tc>
      </w:tr>
      <w:tr w:rsidR="00014A44" w14:paraId="6CA8A7E2" w14:textId="77777777">
        <w:trPr>
          <w:trHeight w:val="517"/>
        </w:trPr>
        <w:tc>
          <w:tcPr>
            <w:tcW w:w="852" w:type="dxa"/>
            <w:vMerge/>
            <w:tcBorders>
              <w:top w:val="nil"/>
            </w:tcBorders>
          </w:tcPr>
          <w:p w14:paraId="2ACD6524" w14:textId="77777777" w:rsidR="00014A44" w:rsidRDefault="00014A44">
            <w:pPr>
              <w:rPr>
                <w:sz w:val="2"/>
                <w:szCs w:val="2"/>
              </w:rPr>
            </w:pPr>
          </w:p>
        </w:tc>
        <w:tc>
          <w:tcPr>
            <w:tcW w:w="2741" w:type="dxa"/>
          </w:tcPr>
          <w:p w14:paraId="24ADF251" w14:textId="77777777" w:rsidR="00014A44" w:rsidRDefault="00345AF3">
            <w:pPr>
              <w:pStyle w:val="TableParagraph"/>
              <w:ind w:right="713"/>
              <w:rPr>
                <w:sz w:val="18"/>
              </w:rPr>
            </w:pPr>
            <w:r w:rsidRPr="00345AF3">
              <w:rPr>
                <w:b/>
                <w:bCs/>
                <w:sz w:val="18"/>
              </w:rPr>
              <w:t>3.3.5</w:t>
            </w:r>
            <w:r>
              <w:rPr>
                <w:sz w:val="18"/>
              </w:rPr>
              <w:t xml:space="preserve"> </w:t>
            </w:r>
            <w:proofErr w:type="spellStart"/>
            <w:r>
              <w:rPr>
                <w:sz w:val="18"/>
              </w:rPr>
              <w:t>Malleefowl</w:t>
            </w:r>
            <w:proofErr w:type="spellEnd"/>
            <w:r>
              <w:rPr>
                <w:sz w:val="18"/>
              </w:rPr>
              <w:t xml:space="preserve"> Adaptive Management Experiment</w:t>
            </w:r>
          </w:p>
        </w:tc>
        <w:tc>
          <w:tcPr>
            <w:tcW w:w="5758" w:type="dxa"/>
          </w:tcPr>
          <w:p w14:paraId="4035D7E8" w14:textId="77777777" w:rsidR="00014A44" w:rsidRDefault="00345AF3">
            <w:pPr>
              <w:pStyle w:val="TableParagraph"/>
              <w:ind w:left="108" w:right="701"/>
              <w:rPr>
                <w:sz w:val="18"/>
              </w:rPr>
            </w:pPr>
            <w:r>
              <w:rPr>
                <w:sz w:val="18"/>
              </w:rPr>
              <w:t>Project co-designed with Indigenous partner: on-going consultation, communication, outputs, training.</w:t>
            </w:r>
          </w:p>
        </w:tc>
      </w:tr>
      <w:tr w:rsidR="00014A44" w14:paraId="5F6D6B23" w14:textId="77777777">
        <w:trPr>
          <w:trHeight w:val="960"/>
        </w:trPr>
        <w:tc>
          <w:tcPr>
            <w:tcW w:w="852" w:type="dxa"/>
            <w:vMerge/>
            <w:tcBorders>
              <w:top w:val="nil"/>
            </w:tcBorders>
          </w:tcPr>
          <w:p w14:paraId="1D3D89AE" w14:textId="77777777" w:rsidR="00014A44" w:rsidRDefault="00014A44">
            <w:pPr>
              <w:rPr>
                <w:sz w:val="2"/>
                <w:szCs w:val="2"/>
              </w:rPr>
            </w:pPr>
          </w:p>
        </w:tc>
        <w:tc>
          <w:tcPr>
            <w:tcW w:w="2741" w:type="dxa"/>
          </w:tcPr>
          <w:p w14:paraId="5CD7A65C" w14:textId="77777777" w:rsidR="00014A44" w:rsidRDefault="00345AF3">
            <w:pPr>
              <w:pStyle w:val="TableParagraph"/>
              <w:spacing w:before="40"/>
              <w:ind w:right="119"/>
              <w:rPr>
                <w:sz w:val="18"/>
              </w:rPr>
            </w:pPr>
            <w:r w:rsidRPr="00345AF3">
              <w:rPr>
                <w:b/>
                <w:bCs/>
                <w:sz w:val="18"/>
              </w:rPr>
              <w:t>6.2a</w:t>
            </w:r>
            <w:r>
              <w:rPr>
                <w:sz w:val="18"/>
              </w:rPr>
              <w:t xml:space="preserve"> Cross-cultural monitoring and evaluation program for an orchid (Diuris </w:t>
            </w:r>
            <w:proofErr w:type="spellStart"/>
            <w:r>
              <w:rPr>
                <w:sz w:val="18"/>
              </w:rPr>
              <w:t>byronensis</w:t>
            </w:r>
            <w:proofErr w:type="spellEnd"/>
            <w:r>
              <w:rPr>
                <w:sz w:val="18"/>
              </w:rPr>
              <w:t xml:space="preserve">) on </w:t>
            </w:r>
            <w:proofErr w:type="spellStart"/>
            <w:r>
              <w:rPr>
                <w:sz w:val="18"/>
              </w:rPr>
              <w:t>Arakwal</w:t>
            </w:r>
            <w:proofErr w:type="spellEnd"/>
            <w:r>
              <w:rPr>
                <w:sz w:val="18"/>
              </w:rPr>
              <w:t xml:space="preserve"> land</w:t>
            </w:r>
          </w:p>
        </w:tc>
        <w:tc>
          <w:tcPr>
            <w:tcW w:w="5758" w:type="dxa"/>
          </w:tcPr>
          <w:p w14:paraId="58160291" w14:textId="77777777" w:rsidR="00014A44" w:rsidRDefault="00345AF3">
            <w:pPr>
              <w:pStyle w:val="TableParagraph"/>
              <w:spacing w:before="40"/>
              <w:ind w:left="108" w:right="184"/>
              <w:rPr>
                <w:sz w:val="18"/>
              </w:rPr>
            </w:pPr>
            <w:proofErr w:type="spellStart"/>
            <w:r>
              <w:rPr>
                <w:sz w:val="18"/>
              </w:rPr>
              <w:t>Arakwal</w:t>
            </w:r>
            <w:proofErr w:type="spellEnd"/>
            <w:r>
              <w:rPr>
                <w:sz w:val="18"/>
              </w:rPr>
              <w:t xml:space="preserve"> Traditional Owners and joint managers engaged in cross-cultural decision-support workshop that identified priority actions to care for Diuris or</w:t>
            </w:r>
            <w:r>
              <w:rPr>
                <w:sz w:val="18"/>
              </w:rPr>
              <w:t>chid and surrounding clay heath habitat.</w:t>
            </w:r>
          </w:p>
        </w:tc>
      </w:tr>
      <w:tr w:rsidR="00014A44" w14:paraId="2B2CA8C0" w14:textId="77777777">
        <w:trPr>
          <w:trHeight w:val="484"/>
        </w:trPr>
        <w:tc>
          <w:tcPr>
            <w:tcW w:w="9351" w:type="dxa"/>
            <w:gridSpan w:val="3"/>
            <w:shd w:val="clear" w:color="auto" w:fill="E7FFBD"/>
          </w:tcPr>
          <w:p w14:paraId="03B3FE3A" w14:textId="77777777" w:rsidR="00014A44" w:rsidRDefault="00345AF3">
            <w:pPr>
              <w:pStyle w:val="TableParagraph"/>
              <w:spacing w:before="121"/>
              <w:rPr>
                <w:sz w:val="20"/>
              </w:rPr>
            </w:pPr>
            <w:r>
              <w:rPr>
                <w:sz w:val="20"/>
              </w:rPr>
              <w:t>TWQ</w:t>
            </w:r>
          </w:p>
        </w:tc>
      </w:tr>
      <w:tr w:rsidR="00014A44" w14:paraId="70D88E02" w14:textId="77777777">
        <w:trPr>
          <w:trHeight w:val="959"/>
        </w:trPr>
        <w:tc>
          <w:tcPr>
            <w:tcW w:w="852" w:type="dxa"/>
          </w:tcPr>
          <w:p w14:paraId="6B5291A2" w14:textId="77777777" w:rsidR="00014A44" w:rsidRDefault="00014A44">
            <w:pPr>
              <w:pStyle w:val="TableParagraph"/>
              <w:spacing w:before="0"/>
              <w:ind w:left="0"/>
              <w:rPr>
                <w:rFonts w:ascii="Times New Roman"/>
                <w:sz w:val="18"/>
              </w:rPr>
            </w:pPr>
          </w:p>
        </w:tc>
        <w:tc>
          <w:tcPr>
            <w:tcW w:w="2741" w:type="dxa"/>
          </w:tcPr>
          <w:p w14:paraId="59A9E36B" w14:textId="77777777" w:rsidR="00014A44" w:rsidRDefault="00345AF3">
            <w:pPr>
              <w:pStyle w:val="TableParagraph"/>
              <w:ind w:right="114"/>
              <w:rPr>
                <w:sz w:val="18"/>
              </w:rPr>
            </w:pPr>
            <w:r w:rsidRPr="00345AF3">
              <w:rPr>
                <w:b/>
                <w:bCs/>
                <w:sz w:val="18"/>
              </w:rPr>
              <w:t>2.2.1</w:t>
            </w:r>
            <w:r>
              <w:rPr>
                <w:sz w:val="18"/>
              </w:rPr>
              <w:t xml:space="preserve"> Identifying the water quality and ecosystem health threats to the high diversity Torres Strait and</w:t>
            </w:r>
          </w:p>
        </w:tc>
        <w:tc>
          <w:tcPr>
            <w:tcW w:w="5758" w:type="dxa"/>
          </w:tcPr>
          <w:p w14:paraId="65866B8B" w14:textId="77777777" w:rsidR="00014A44" w:rsidRDefault="00345AF3">
            <w:pPr>
              <w:pStyle w:val="TableParagraph"/>
              <w:ind w:left="108" w:right="303"/>
              <w:rPr>
                <w:sz w:val="18"/>
              </w:rPr>
            </w:pPr>
            <w:r>
              <w:rPr>
                <w:sz w:val="18"/>
              </w:rPr>
              <w:t xml:space="preserve">The project team worked closely with the TSRA Rangers and the Land and Sea Management Unit to conduct the salinity monitoring. The project has engaged with TSRA Rangers from </w:t>
            </w:r>
            <w:proofErr w:type="spellStart"/>
            <w:r>
              <w:rPr>
                <w:sz w:val="18"/>
              </w:rPr>
              <w:t>Erub</w:t>
            </w:r>
            <w:proofErr w:type="spellEnd"/>
            <w:r>
              <w:rPr>
                <w:sz w:val="18"/>
              </w:rPr>
              <w:t xml:space="preserve">, </w:t>
            </w:r>
            <w:proofErr w:type="spellStart"/>
            <w:r>
              <w:rPr>
                <w:sz w:val="18"/>
              </w:rPr>
              <w:t>Masig</w:t>
            </w:r>
            <w:proofErr w:type="spellEnd"/>
            <w:r>
              <w:rPr>
                <w:sz w:val="18"/>
              </w:rPr>
              <w:t xml:space="preserve">, </w:t>
            </w:r>
            <w:proofErr w:type="spellStart"/>
            <w:r>
              <w:rPr>
                <w:sz w:val="18"/>
              </w:rPr>
              <w:t>Warraber</w:t>
            </w:r>
            <w:proofErr w:type="spellEnd"/>
            <w:r>
              <w:rPr>
                <w:sz w:val="18"/>
              </w:rPr>
              <w:t xml:space="preserve">, </w:t>
            </w:r>
            <w:proofErr w:type="spellStart"/>
            <w:r>
              <w:rPr>
                <w:sz w:val="18"/>
              </w:rPr>
              <w:t>Poruma</w:t>
            </w:r>
            <w:proofErr w:type="spellEnd"/>
            <w:r>
              <w:rPr>
                <w:sz w:val="18"/>
              </w:rPr>
              <w:t xml:space="preserve">, </w:t>
            </w:r>
            <w:proofErr w:type="spellStart"/>
            <w:r>
              <w:rPr>
                <w:sz w:val="18"/>
              </w:rPr>
              <w:t>Iama</w:t>
            </w:r>
            <w:proofErr w:type="spellEnd"/>
            <w:r>
              <w:rPr>
                <w:sz w:val="18"/>
              </w:rPr>
              <w:t xml:space="preserve">, Saibai and </w:t>
            </w:r>
            <w:proofErr w:type="spellStart"/>
            <w:r>
              <w:rPr>
                <w:sz w:val="18"/>
              </w:rPr>
              <w:t>Boigu</w:t>
            </w:r>
            <w:proofErr w:type="spellEnd"/>
            <w:r>
              <w:rPr>
                <w:sz w:val="18"/>
              </w:rPr>
              <w:t>.</w:t>
            </w:r>
          </w:p>
        </w:tc>
      </w:tr>
    </w:tbl>
    <w:p w14:paraId="3ECCCCC0" w14:textId="77777777" w:rsidR="00014A44" w:rsidRDefault="00014A44">
      <w:pPr>
        <w:rPr>
          <w:sz w:val="18"/>
        </w:rPr>
        <w:sectPr w:rsidR="00014A44">
          <w:pgSz w:w="11910" w:h="16840"/>
          <w:pgMar w:top="1420" w:right="980" w:bottom="1180" w:left="1300" w:header="0" w:footer="986" w:gutter="0"/>
          <w:cols w:space="720"/>
        </w:sectPr>
      </w:pPr>
    </w:p>
    <w:tbl>
      <w:tblPr>
        <w:tblW w:w="0" w:type="auto"/>
        <w:tblInd w:w="15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852"/>
        <w:gridCol w:w="2741"/>
        <w:gridCol w:w="5758"/>
      </w:tblGrid>
      <w:tr w:rsidR="00014A44" w14:paraId="00BB0C00" w14:textId="77777777">
        <w:trPr>
          <w:trHeight w:val="729"/>
        </w:trPr>
        <w:tc>
          <w:tcPr>
            <w:tcW w:w="852" w:type="dxa"/>
            <w:shd w:val="clear" w:color="auto" w:fill="E7FFBD"/>
          </w:tcPr>
          <w:p w14:paraId="51D7BC7D" w14:textId="77777777" w:rsidR="00014A44" w:rsidRPr="00345AF3" w:rsidRDefault="00345AF3">
            <w:pPr>
              <w:pStyle w:val="TableParagraph"/>
              <w:spacing w:before="121"/>
              <w:ind w:left="215"/>
              <w:rPr>
                <w:b/>
                <w:bCs/>
                <w:sz w:val="20"/>
              </w:rPr>
            </w:pPr>
            <w:r w:rsidRPr="00345AF3">
              <w:rPr>
                <w:b/>
                <w:bCs/>
                <w:sz w:val="20"/>
              </w:rPr>
              <w:lastRenderedPageBreak/>
              <w:t>NESP</w:t>
            </w:r>
          </w:p>
          <w:p w14:paraId="5C66DFF9" w14:textId="77777777" w:rsidR="00014A44" w:rsidRPr="00345AF3" w:rsidRDefault="00345AF3">
            <w:pPr>
              <w:pStyle w:val="TableParagraph"/>
              <w:spacing w:before="1"/>
              <w:ind w:left="259"/>
              <w:rPr>
                <w:b/>
                <w:bCs/>
                <w:sz w:val="20"/>
              </w:rPr>
            </w:pPr>
            <w:r w:rsidRPr="00345AF3">
              <w:rPr>
                <w:b/>
                <w:bCs/>
                <w:sz w:val="20"/>
              </w:rPr>
              <w:t>Hub</w:t>
            </w:r>
          </w:p>
        </w:tc>
        <w:tc>
          <w:tcPr>
            <w:tcW w:w="2741" w:type="dxa"/>
            <w:shd w:val="clear" w:color="auto" w:fill="E7FFBD"/>
          </w:tcPr>
          <w:p w14:paraId="71AB481E" w14:textId="77777777" w:rsidR="00014A44" w:rsidRPr="00345AF3" w:rsidRDefault="00014A44">
            <w:pPr>
              <w:pStyle w:val="TableParagraph"/>
              <w:spacing w:before="0"/>
              <w:ind w:left="0"/>
              <w:rPr>
                <w:b/>
                <w:bCs/>
                <w:sz w:val="20"/>
              </w:rPr>
            </w:pPr>
          </w:p>
          <w:p w14:paraId="52FA9FFB" w14:textId="77777777" w:rsidR="00014A44" w:rsidRPr="00345AF3" w:rsidRDefault="00345AF3">
            <w:pPr>
              <w:pStyle w:val="TableParagraph"/>
              <w:spacing w:before="0"/>
              <w:rPr>
                <w:b/>
                <w:bCs/>
                <w:sz w:val="20"/>
              </w:rPr>
            </w:pPr>
            <w:r w:rsidRPr="00345AF3">
              <w:rPr>
                <w:b/>
                <w:bCs/>
                <w:sz w:val="20"/>
              </w:rPr>
              <w:t>Project No.</w:t>
            </w:r>
          </w:p>
        </w:tc>
        <w:tc>
          <w:tcPr>
            <w:tcW w:w="5758" w:type="dxa"/>
            <w:shd w:val="clear" w:color="auto" w:fill="E7FFBD"/>
          </w:tcPr>
          <w:p w14:paraId="73D84E66" w14:textId="77777777" w:rsidR="00014A44" w:rsidRPr="00345AF3" w:rsidRDefault="00014A44">
            <w:pPr>
              <w:pStyle w:val="TableParagraph"/>
              <w:spacing w:before="0"/>
              <w:ind w:left="0"/>
              <w:rPr>
                <w:b/>
                <w:bCs/>
                <w:sz w:val="20"/>
              </w:rPr>
            </w:pPr>
          </w:p>
          <w:p w14:paraId="4C44A6AD" w14:textId="77777777" w:rsidR="00014A44" w:rsidRPr="00345AF3" w:rsidRDefault="00345AF3">
            <w:pPr>
              <w:pStyle w:val="TableParagraph"/>
              <w:spacing w:before="0"/>
              <w:ind w:left="108"/>
              <w:rPr>
                <w:b/>
                <w:bCs/>
                <w:sz w:val="20"/>
              </w:rPr>
            </w:pPr>
            <w:r w:rsidRPr="00345AF3">
              <w:rPr>
                <w:b/>
                <w:bCs/>
                <w:sz w:val="20"/>
              </w:rPr>
              <w:t>Details of ‘Indigenous led’</w:t>
            </w:r>
          </w:p>
        </w:tc>
      </w:tr>
      <w:tr w:rsidR="00014A44" w14:paraId="6D3AA7C4" w14:textId="77777777">
        <w:trPr>
          <w:trHeight w:val="479"/>
        </w:trPr>
        <w:tc>
          <w:tcPr>
            <w:tcW w:w="852" w:type="dxa"/>
            <w:vMerge w:val="restart"/>
          </w:tcPr>
          <w:p w14:paraId="22C8049D" w14:textId="77777777" w:rsidR="00014A44" w:rsidRDefault="00014A44">
            <w:pPr>
              <w:pStyle w:val="TableParagraph"/>
              <w:spacing w:before="0"/>
              <w:ind w:left="0"/>
              <w:rPr>
                <w:rFonts w:ascii="Times New Roman"/>
                <w:sz w:val="18"/>
              </w:rPr>
            </w:pPr>
          </w:p>
        </w:tc>
        <w:tc>
          <w:tcPr>
            <w:tcW w:w="2741" w:type="dxa"/>
          </w:tcPr>
          <w:p w14:paraId="6E65BFBE" w14:textId="77777777" w:rsidR="00014A44" w:rsidRDefault="00345AF3">
            <w:pPr>
              <w:pStyle w:val="TableParagraph"/>
              <w:spacing w:before="0"/>
              <w:ind w:right="93"/>
              <w:rPr>
                <w:sz w:val="18"/>
              </w:rPr>
            </w:pPr>
            <w:r>
              <w:rPr>
                <w:sz w:val="18"/>
              </w:rPr>
              <w:t>far northern GBR from runoff from the Fly River</w:t>
            </w:r>
          </w:p>
        </w:tc>
        <w:tc>
          <w:tcPr>
            <w:tcW w:w="5758" w:type="dxa"/>
          </w:tcPr>
          <w:p w14:paraId="5079D704" w14:textId="77777777" w:rsidR="00014A44" w:rsidRDefault="00014A44">
            <w:pPr>
              <w:pStyle w:val="TableParagraph"/>
              <w:spacing w:before="0"/>
              <w:ind w:left="0"/>
              <w:rPr>
                <w:rFonts w:ascii="Times New Roman"/>
                <w:sz w:val="18"/>
              </w:rPr>
            </w:pPr>
          </w:p>
        </w:tc>
      </w:tr>
      <w:tr w:rsidR="00014A44" w14:paraId="7D706409" w14:textId="77777777">
        <w:trPr>
          <w:trHeight w:val="957"/>
        </w:trPr>
        <w:tc>
          <w:tcPr>
            <w:tcW w:w="852" w:type="dxa"/>
            <w:vMerge/>
            <w:tcBorders>
              <w:top w:val="nil"/>
            </w:tcBorders>
          </w:tcPr>
          <w:p w14:paraId="7E42F8F2" w14:textId="77777777" w:rsidR="00014A44" w:rsidRDefault="00014A44">
            <w:pPr>
              <w:rPr>
                <w:sz w:val="2"/>
                <w:szCs w:val="2"/>
              </w:rPr>
            </w:pPr>
          </w:p>
        </w:tc>
        <w:tc>
          <w:tcPr>
            <w:tcW w:w="2741" w:type="dxa"/>
          </w:tcPr>
          <w:p w14:paraId="6A5547BC" w14:textId="77777777" w:rsidR="00014A44" w:rsidRDefault="00345AF3">
            <w:pPr>
              <w:pStyle w:val="TableParagraph"/>
              <w:ind w:right="107"/>
              <w:rPr>
                <w:sz w:val="18"/>
              </w:rPr>
            </w:pPr>
            <w:r w:rsidRPr="00345AF3">
              <w:rPr>
                <w:b/>
                <w:bCs/>
                <w:sz w:val="18"/>
              </w:rPr>
              <w:t>5.14</w:t>
            </w:r>
            <w:r>
              <w:rPr>
                <w:sz w:val="18"/>
              </w:rPr>
              <w:t xml:space="preserve"> Identifying the water quality and ecosystem health threats to the Torres Strait from the Fly River runoff</w:t>
            </w:r>
          </w:p>
        </w:tc>
        <w:tc>
          <w:tcPr>
            <w:tcW w:w="5758" w:type="dxa"/>
          </w:tcPr>
          <w:p w14:paraId="64ADDFD2" w14:textId="77777777" w:rsidR="00014A44" w:rsidRDefault="00345AF3">
            <w:pPr>
              <w:pStyle w:val="TableParagraph"/>
              <w:ind w:left="108" w:right="303"/>
              <w:rPr>
                <w:sz w:val="18"/>
              </w:rPr>
            </w:pPr>
            <w:r>
              <w:rPr>
                <w:sz w:val="18"/>
              </w:rPr>
              <w:t>The project team worked closely with the TSRA Rangers and the Land and Sea Management Unit to conduct the salinity monitoring. The project engage</w:t>
            </w:r>
            <w:r>
              <w:rPr>
                <w:sz w:val="18"/>
              </w:rPr>
              <w:t xml:space="preserve">d with TSRA Rangers from </w:t>
            </w:r>
            <w:proofErr w:type="spellStart"/>
            <w:r>
              <w:rPr>
                <w:sz w:val="18"/>
              </w:rPr>
              <w:t>Erub</w:t>
            </w:r>
            <w:proofErr w:type="spellEnd"/>
            <w:r>
              <w:rPr>
                <w:sz w:val="18"/>
              </w:rPr>
              <w:t xml:space="preserve">, </w:t>
            </w:r>
            <w:proofErr w:type="spellStart"/>
            <w:r>
              <w:rPr>
                <w:sz w:val="18"/>
              </w:rPr>
              <w:t>Masig</w:t>
            </w:r>
            <w:proofErr w:type="spellEnd"/>
            <w:r>
              <w:rPr>
                <w:sz w:val="18"/>
              </w:rPr>
              <w:t xml:space="preserve">, </w:t>
            </w:r>
            <w:proofErr w:type="spellStart"/>
            <w:r>
              <w:rPr>
                <w:sz w:val="18"/>
              </w:rPr>
              <w:t>Warraber</w:t>
            </w:r>
            <w:proofErr w:type="spellEnd"/>
            <w:r>
              <w:rPr>
                <w:sz w:val="18"/>
              </w:rPr>
              <w:t xml:space="preserve">, </w:t>
            </w:r>
            <w:proofErr w:type="spellStart"/>
            <w:r>
              <w:rPr>
                <w:sz w:val="18"/>
              </w:rPr>
              <w:t>Poruma</w:t>
            </w:r>
            <w:proofErr w:type="spellEnd"/>
            <w:r>
              <w:rPr>
                <w:sz w:val="18"/>
              </w:rPr>
              <w:t xml:space="preserve">, </w:t>
            </w:r>
            <w:proofErr w:type="spellStart"/>
            <w:r>
              <w:rPr>
                <w:sz w:val="18"/>
              </w:rPr>
              <w:t>Iama</w:t>
            </w:r>
            <w:proofErr w:type="spellEnd"/>
            <w:r>
              <w:rPr>
                <w:sz w:val="18"/>
              </w:rPr>
              <w:t xml:space="preserve">, Saibai and </w:t>
            </w:r>
            <w:proofErr w:type="spellStart"/>
            <w:r>
              <w:rPr>
                <w:sz w:val="18"/>
              </w:rPr>
              <w:t>Boigu</w:t>
            </w:r>
            <w:proofErr w:type="spellEnd"/>
            <w:r>
              <w:rPr>
                <w:sz w:val="18"/>
              </w:rPr>
              <w:t>.</w:t>
            </w:r>
          </w:p>
        </w:tc>
      </w:tr>
      <w:tr w:rsidR="00014A44" w14:paraId="1D37E9F6" w14:textId="77777777">
        <w:trPr>
          <w:trHeight w:val="1837"/>
        </w:trPr>
        <w:tc>
          <w:tcPr>
            <w:tcW w:w="852" w:type="dxa"/>
            <w:vMerge/>
            <w:tcBorders>
              <w:top w:val="nil"/>
            </w:tcBorders>
          </w:tcPr>
          <w:p w14:paraId="5BBAAAEC" w14:textId="77777777" w:rsidR="00014A44" w:rsidRDefault="00014A44">
            <w:pPr>
              <w:rPr>
                <w:sz w:val="2"/>
                <w:szCs w:val="2"/>
              </w:rPr>
            </w:pPr>
          </w:p>
        </w:tc>
        <w:tc>
          <w:tcPr>
            <w:tcW w:w="2741" w:type="dxa"/>
          </w:tcPr>
          <w:p w14:paraId="233C111A" w14:textId="77777777" w:rsidR="00014A44" w:rsidRDefault="00345AF3">
            <w:pPr>
              <w:pStyle w:val="TableParagraph"/>
              <w:ind w:right="110"/>
              <w:rPr>
                <w:sz w:val="18"/>
              </w:rPr>
            </w:pPr>
            <w:r w:rsidRPr="00345AF3">
              <w:rPr>
                <w:b/>
                <w:bCs/>
                <w:sz w:val="18"/>
              </w:rPr>
              <w:t>3.5</w:t>
            </w:r>
            <w:r>
              <w:rPr>
                <w:sz w:val="18"/>
              </w:rPr>
              <w:t xml:space="preserve"> Assessment of key dugong and turtle seagrass resources in the northern Torres Strait</w:t>
            </w:r>
          </w:p>
        </w:tc>
        <w:tc>
          <w:tcPr>
            <w:tcW w:w="5758" w:type="dxa"/>
          </w:tcPr>
          <w:p w14:paraId="5268E577" w14:textId="77777777" w:rsidR="00014A44" w:rsidRDefault="00345AF3">
            <w:pPr>
              <w:pStyle w:val="TableParagraph"/>
              <w:ind w:left="108" w:right="98"/>
              <w:rPr>
                <w:sz w:val="18"/>
              </w:rPr>
            </w:pPr>
            <w:r>
              <w:rPr>
                <w:sz w:val="18"/>
              </w:rPr>
              <w:t xml:space="preserve">This project could only be achieved with the involvement of the Torres Strait Regional Authority, Torres Strait Prescribed Body Corporates, Traditional </w:t>
            </w:r>
            <w:proofErr w:type="gramStart"/>
            <w:r>
              <w:rPr>
                <w:sz w:val="18"/>
              </w:rPr>
              <w:t>Owners</w:t>
            </w:r>
            <w:proofErr w:type="gramEnd"/>
            <w:r>
              <w:rPr>
                <w:sz w:val="18"/>
              </w:rPr>
              <w:t xml:space="preserve"> and community members. Rangers from </w:t>
            </w:r>
            <w:proofErr w:type="spellStart"/>
            <w:r>
              <w:rPr>
                <w:sz w:val="18"/>
              </w:rPr>
              <w:t>Boigu</w:t>
            </w:r>
            <w:proofErr w:type="spellEnd"/>
            <w:r>
              <w:rPr>
                <w:sz w:val="18"/>
              </w:rPr>
              <w:t xml:space="preserve"> Island and Saibai Island and use of the TSRA LSMU range</w:t>
            </w:r>
            <w:r>
              <w:rPr>
                <w:sz w:val="18"/>
              </w:rPr>
              <w:t xml:space="preserve">r vessel were essential to the success of boat-based surveys. The Rangers assisted </w:t>
            </w:r>
            <w:proofErr w:type="spellStart"/>
            <w:r>
              <w:rPr>
                <w:sz w:val="18"/>
              </w:rPr>
              <w:t>TropWATER</w:t>
            </w:r>
            <w:proofErr w:type="spellEnd"/>
            <w:r>
              <w:rPr>
                <w:sz w:val="18"/>
              </w:rPr>
              <w:t xml:space="preserve"> researchers with logistical support prior to the surveys and all aspects of sampling (data collection, operation of field equipment). </w:t>
            </w:r>
            <w:proofErr w:type="spellStart"/>
            <w:r>
              <w:rPr>
                <w:sz w:val="18"/>
              </w:rPr>
              <w:t>TropWATER</w:t>
            </w:r>
            <w:proofErr w:type="spellEnd"/>
            <w:r>
              <w:rPr>
                <w:sz w:val="18"/>
              </w:rPr>
              <w:t xml:space="preserve"> researchers relied </w:t>
            </w:r>
            <w:r>
              <w:rPr>
                <w:sz w:val="18"/>
              </w:rPr>
              <w:t>heavily on the Ranger’s local knowledge of the survey area.</w:t>
            </w:r>
          </w:p>
        </w:tc>
      </w:tr>
      <w:tr w:rsidR="00014A44" w14:paraId="1C48881A" w14:textId="77777777">
        <w:trPr>
          <w:trHeight w:val="1399"/>
        </w:trPr>
        <w:tc>
          <w:tcPr>
            <w:tcW w:w="852" w:type="dxa"/>
            <w:vMerge/>
            <w:tcBorders>
              <w:top w:val="nil"/>
            </w:tcBorders>
          </w:tcPr>
          <w:p w14:paraId="05175325" w14:textId="77777777" w:rsidR="00014A44" w:rsidRDefault="00014A44">
            <w:pPr>
              <w:rPr>
                <w:sz w:val="2"/>
                <w:szCs w:val="2"/>
              </w:rPr>
            </w:pPr>
          </w:p>
        </w:tc>
        <w:tc>
          <w:tcPr>
            <w:tcW w:w="2741" w:type="dxa"/>
          </w:tcPr>
          <w:p w14:paraId="6ADD5E92" w14:textId="77777777" w:rsidR="00014A44" w:rsidRDefault="00345AF3">
            <w:pPr>
              <w:pStyle w:val="TableParagraph"/>
              <w:spacing w:before="40"/>
              <w:ind w:right="262"/>
              <w:rPr>
                <w:sz w:val="18"/>
              </w:rPr>
            </w:pPr>
            <w:r w:rsidRPr="00345AF3">
              <w:rPr>
                <w:b/>
                <w:bCs/>
                <w:sz w:val="18"/>
              </w:rPr>
              <w:t>3.9</w:t>
            </w:r>
            <w:r>
              <w:rPr>
                <w:sz w:val="18"/>
              </w:rPr>
              <w:t xml:space="preserve"> Indigenous capacity building and increased participation in management of Queensland sea Country</w:t>
            </w:r>
          </w:p>
        </w:tc>
        <w:tc>
          <w:tcPr>
            <w:tcW w:w="5758" w:type="dxa"/>
          </w:tcPr>
          <w:p w14:paraId="498206B7" w14:textId="77777777" w:rsidR="00014A44" w:rsidRDefault="00345AF3">
            <w:pPr>
              <w:pStyle w:val="TableParagraph"/>
              <w:spacing w:before="40"/>
              <w:ind w:left="108" w:right="210"/>
              <w:rPr>
                <w:sz w:val="18"/>
              </w:rPr>
            </w:pPr>
            <w:r>
              <w:rPr>
                <w:sz w:val="18"/>
              </w:rPr>
              <w:t xml:space="preserve">This project focused on meaningful Indigenous engagement within NESP TWQ Hub projects with aspirations for cross-collaboration with NESP NAER Hub. A joint </w:t>
            </w:r>
            <w:r>
              <w:rPr>
                <w:sz w:val="18"/>
              </w:rPr>
              <w:t xml:space="preserve">workshop was held across the region in coordination with the GBRMPA Indigenous Reef Advisory Committee, including both IRAC and </w:t>
            </w:r>
            <w:proofErr w:type="gramStart"/>
            <w:r>
              <w:rPr>
                <w:sz w:val="18"/>
              </w:rPr>
              <w:t>a number of</w:t>
            </w:r>
            <w:proofErr w:type="gramEnd"/>
            <w:r>
              <w:rPr>
                <w:sz w:val="18"/>
              </w:rPr>
              <w:t xml:space="preserve"> other Traditional Owners, thereby ensured good participation from across the region.</w:t>
            </w:r>
          </w:p>
        </w:tc>
      </w:tr>
    </w:tbl>
    <w:p w14:paraId="259A1D52" w14:textId="77777777" w:rsidR="00000000" w:rsidRDefault="00345AF3"/>
    <w:sectPr w:rsidR="00000000">
      <w:pgSz w:w="11910" w:h="16840"/>
      <w:pgMar w:top="1420" w:right="980" w:bottom="1180" w:left="1300" w:header="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159D5" w14:textId="77777777" w:rsidR="00000000" w:rsidRDefault="00345AF3">
      <w:r>
        <w:separator/>
      </w:r>
    </w:p>
  </w:endnote>
  <w:endnote w:type="continuationSeparator" w:id="0">
    <w:p w14:paraId="7C40B9AF" w14:textId="77777777" w:rsidR="00000000" w:rsidRDefault="00345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7BE62" w14:textId="77777777" w:rsidR="00014A44" w:rsidRDefault="00345AF3">
    <w:pPr>
      <w:pStyle w:val="BodyText"/>
      <w:spacing w:line="14" w:lineRule="auto"/>
      <w:rPr>
        <w:sz w:val="20"/>
      </w:rPr>
    </w:pPr>
    <w:r>
      <w:rPr>
        <w:noProof/>
      </w:rPr>
      <w:drawing>
        <wp:anchor distT="0" distB="0" distL="0" distR="0" simplePos="0" relativeHeight="251657216" behindDoc="1" locked="0" layoutInCell="1" allowOverlap="1" wp14:anchorId="519DAD64" wp14:editId="2911B610">
          <wp:simplePos x="0" y="0"/>
          <wp:positionH relativeFrom="page">
            <wp:posOffset>3512282</wp:posOffset>
          </wp:positionH>
          <wp:positionV relativeFrom="page">
            <wp:posOffset>10023746</wp:posOffset>
          </wp:positionV>
          <wp:extent cx="526219" cy="21248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26219" cy="212487"/>
                  </a:xfrm>
                  <a:prstGeom prst="rect">
                    <a:avLst/>
                  </a:prstGeom>
                </pic:spPr>
              </pic:pic>
            </a:graphicData>
          </a:graphic>
        </wp:anchor>
      </w:drawing>
    </w:r>
    <w:r>
      <w:pict w14:anchorId="278255DC">
        <v:shapetype id="_x0000_t202" coordsize="21600,21600" o:spt="202" path="m,l,21600r21600,l21600,xe">
          <v:stroke joinstyle="miter"/>
          <v:path gradientshapeok="t" o:connecttype="rect"/>
        </v:shapetype>
        <v:shape id="_x0000_s2049" type="#_x0000_t202" style="position:absolute;margin-left:288.55pt;margin-top:777.65pt;width:18.25pt;height:10.05pt;z-index:-251658240;mso-position-horizontal-relative:page;mso-position-vertical-relative:page" filled="f" stroked="f">
          <v:textbox inset="0,0,0,0">
            <w:txbxContent>
              <w:p w14:paraId="4E24AECA" w14:textId="77777777" w:rsidR="00014A44" w:rsidRDefault="00345AF3">
                <w:pPr>
                  <w:spacing w:line="184" w:lineRule="exact"/>
                  <w:ind w:left="60"/>
                  <w:rPr>
                    <w:rFonts w:ascii="Calibri"/>
                    <w:b/>
                    <w:sz w:val="16"/>
                  </w:rPr>
                </w:pPr>
                <w:r>
                  <w:fldChar w:fldCharType="begin"/>
                </w:r>
                <w:r>
                  <w:rPr>
                    <w:rFonts w:ascii="Calibri"/>
                    <w:b/>
                    <w:color w:val="7E7E7E"/>
                    <w:sz w:val="16"/>
                  </w:rPr>
                  <w:instrText xml:space="preserve"> PAGE </w:instrText>
                </w:r>
                <w:r>
                  <w:fldChar w:fldCharType="separate"/>
                </w:r>
                <w:r>
                  <w:t>293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046BC" w14:textId="77777777" w:rsidR="00000000" w:rsidRDefault="00345AF3">
      <w:r>
        <w:separator/>
      </w:r>
    </w:p>
  </w:footnote>
  <w:footnote w:type="continuationSeparator" w:id="0">
    <w:p w14:paraId="4D0CDC38" w14:textId="77777777" w:rsidR="00000000" w:rsidRDefault="00345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014A44"/>
    <w:rsid w:val="00014A44"/>
    <w:rsid w:val="00345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2CA1E57"/>
  <w15:docId w15:val="{EF2F78F0-FAA4-46F8-B379-9287B75D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140"/>
    </w:pPr>
    <w:rPr>
      <w:rFonts w:ascii="Calibri" w:eastAsia="Calibri" w:hAnsi="Calibri" w:cs="Calibri"/>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9"/>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1835</Words>
  <Characters>10462</Characters>
  <Application>Microsoft Office Word</Application>
  <DocSecurity>0</DocSecurity>
  <Lines>87</Lines>
  <Paragraphs>24</Paragraphs>
  <ScaleCrop>false</ScaleCrop>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Engagement in the National Environmental Research Program (NESP)</dc:title>
  <dc:creator>Tara Callinan</dc:creator>
  <cp:lastModifiedBy>Ed Wensing</cp:lastModifiedBy>
  <cp:revision>2</cp:revision>
  <dcterms:created xsi:type="dcterms:W3CDTF">2021-01-20T23:46:00Z</dcterms:created>
  <dcterms:modified xsi:type="dcterms:W3CDTF">2021-01-21T06:18:00Z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Microsoft® Word for Microsoft 365</vt:lpwstr>
  </property>
  <property fmtid="{D5CDD505-2E9C-101B-9397-08002B2CF9AE}" pid="4" name="LastSaved">
    <vt:filetime>2021-01-20T00:00:00Z</vt:filetime>
  </property>
</Properties>
</file>