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54A1C" w14:textId="77777777" w:rsidR="00C22CA9" w:rsidRDefault="00CC6215">
      <w:pPr>
        <w:pStyle w:val="Title"/>
        <w:spacing w:line="641" w:lineRule="exact"/>
      </w:pPr>
      <w:r>
        <w:rPr>
          <w:color w:val="7E7E7E"/>
        </w:rPr>
        <w:t>APPENDIX K: NESP HUB PROJECTS NOT</w:t>
      </w:r>
    </w:p>
    <w:p w14:paraId="5878C15A" w14:textId="77777777" w:rsidR="00C22CA9" w:rsidRDefault="00C54C78">
      <w:pPr>
        <w:pStyle w:val="Title"/>
        <w:spacing w:before="3"/>
      </w:pPr>
      <w:r>
        <w:pict w14:anchorId="2F6CBF44">
          <v:rect id="_x0000_s1026" style="position:absolute;left:0;text-align:left;margin-left:76.6pt;margin-top:46.35pt;width:463.5pt;height:.95pt;z-index:15728640;mso-position-horizontal-relative:page" fillcolor="#92c753" stroked="f">
            <w10:wrap anchorx="page"/>
          </v:rect>
        </w:pict>
      </w:r>
      <w:r w:rsidR="00CC6215">
        <w:rPr>
          <w:color w:val="7E7E7E"/>
        </w:rPr>
        <w:t>SPATIALLY MAPPED</w:t>
      </w:r>
    </w:p>
    <w:p w14:paraId="2B9E87D7" w14:textId="77777777" w:rsidR="00C22CA9" w:rsidRDefault="00C22CA9">
      <w:pPr>
        <w:pStyle w:val="BodyText"/>
        <w:rPr>
          <w:rFonts w:ascii="Calibri"/>
          <w:sz w:val="20"/>
        </w:rPr>
      </w:pPr>
    </w:p>
    <w:p w14:paraId="7BCE1D64" w14:textId="77777777" w:rsidR="00C22CA9" w:rsidRDefault="00C22CA9">
      <w:pPr>
        <w:pStyle w:val="BodyText"/>
        <w:rPr>
          <w:rFonts w:ascii="Calibri"/>
          <w:sz w:val="20"/>
        </w:rPr>
      </w:pPr>
    </w:p>
    <w:p w14:paraId="2D4A80D0" w14:textId="77777777" w:rsidR="00C22CA9" w:rsidRDefault="00C22CA9">
      <w:pPr>
        <w:pStyle w:val="BodyText"/>
        <w:spacing w:before="9"/>
        <w:rPr>
          <w:rFonts w:ascii="Calibri"/>
          <w:sz w:val="25"/>
        </w:rPr>
      </w:pPr>
    </w:p>
    <w:p w14:paraId="1E3C6C3A" w14:textId="77777777" w:rsidR="00C22CA9" w:rsidRDefault="00CC6215">
      <w:pPr>
        <w:pStyle w:val="BodyText"/>
        <w:spacing w:before="59" w:line="259" w:lineRule="auto"/>
        <w:ind w:left="140" w:right="169"/>
      </w:pPr>
      <w:r>
        <w:t>Of the 108 NESP Hub Indigenous Research Projects examined by SGSEP, the following projects are not included in the spatial mapping of projects by SGSEP in Appendix I because the projects were not focussed on a specific locality, or the research took place over multiple localities, or the research being undertaken has wider or potentially national application.</w:t>
      </w:r>
    </w:p>
    <w:p w14:paraId="0F10BD8C" w14:textId="6213639F" w:rsidR="00C22CA9" w:rsidRPr="00510CB8" w:rsidRDefault="00CC6215">
      <w:pPr>
        <w:pStyle w:val="BodyText"/>
        <w:spacing w:before="119"/>
        <w:ind w:left="140"/>
        <w:rPr>
          <w:b/>
          <w:bCs/>
        </w:rPr>
      </w:pPr>
      <w:r w:rsidRPr="00510CB8">
        <w:rPr>
          <w:b/>
          <w:bCs/>
          <w:color w:val="404040"/>
        </w:rPr>
        <w:t>Table K.1 NESP Hub Projects Not Spatially Mapped</w:t>
      </w:r>
    </w:p>
    <w:p w14:paraId="10445A7C" w14:textId="77777777" w:rsidR="00C22CA9" w:rsidRDefault="00C22CA9">
      <w:pPr>
        <w:pStyle w:val="BodyText"/>
        <w:spacing w:before="8" w:after="1"/>
        <w:rPr>
          <w:sz w:val="9"/>
        </w:rPr>
      </w:pPr>
    </w:p>
    <w:tbl>
      <w:tblPr>
        <w:tblW w:w="0" w:type="auto"/>
        <w:tblInd w:w="14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5308"/>
        <w:gridCol w:w="2723"/>
      </w:tblGrid>
      <w:tr w:rsidR="00C22CA9" w14:paraId="23668B8F" w14:textId="77777777">
        <w:trPr>
          <w:trHeight w:val="485"/>
        </w:trPr>
        <w:tc>
          <w:tcPr>
            <w:tcW w:w="994" w:type="dxa"/>
            <w:shd w:val="clear" w:color="auto" w:fill="E7FFBD"/>
          </w:tcPr>
          <w:p w14:paraId="29500A7C" w14:textId="77777777" w:rsidR="00C22CA9" w:rsidRPr="00510CB8" w:rsidRDefault="00CC6215">
            <w:pPr>
              <w:pStyle w:val="TableParagraph"/>
              <w:spacing w:before="122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Number</w:t>
            </w:r>
          </w:p>
        </w:tc>
        <w:tc>
          <w:tcPr>
            <w:tcW w:w="5308" w:type="dxa"/>
            <w:shd w:val="clear" w:color="auto" w:fill="E7FFBD"/>
          </w:tcPr>
          <w:p w14:paraId="7EAEFCCD" w14:textId="77777777" w:rsidR="00C22CA9" w:rsidRPr="00510CB8" w:rsidRDefault="00CC6215">
            <w:pPr>
              <w:pStyle w:val="TableParagraph"/>
              <w:spacing w:before="122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Project Title</w:t>
            </w:r>
          </w:p>
        </w:tc>
        <w:tc>
          <w:tcPr>
            <w:tcW w:w="2723" w:type="dxa"/>
            <w:shd w:val="clear" w:color="auto" w:fill="E7FFBD"/>
          </w:tcPr>
          <w:p w14:paraId="1A2548CC" w14:textId="77777777" w:rsidR="00C22CA9" w:rsidRPr="00510CB8" w:rsidRDefault="00CC6215">
            <w:pPr>
              <w:pStyle w:val="TableParagraph"/>
              <w:spacing w:before="122"/>
              <w:ind w:left="106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Reason not mapped</w:t>
            </w:r>
          </w:p>
        </w:tc>
      </w:tr>
      <w:tr w:rsidR="00C22CA9" w14:paraId="3F17C9EA" w14:textId="77777777">
        <w:trPr>
          <w:trHeight w:val="402"/>
        </w:trPr>
        <w:tc>
          <w:tcPr>
            <w:tcW w:w="9025" w:type="dxa"/>
            <w:gridSpan w:val="3"/>
            <w:shd w:val="clear" w:color="auto" w:fill="E7FFBD"/>
          </w:tcPr>
          <w:p w14:paraId="3004B16F" w14:textId="77777777" w:rsidR="00C22CA9" w:rsidRPr="00510CB8" w:rsidRDefault="00CC6215">
            <w:pPr>
              <w:pStyle w:val="TableParagraph"/>
              <w:spacing w:before="80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CAUL Hub</w:t>
            </w:r>
          </w:p>
        </w:tc>
      </w:tr>
      <w:tr w:rsidR="00C22CA9" w14:paraId="2137D9AE" w14:textId="77777777">
        <w:trPr>
          <w:trHeight w:val="609"/>
        </w:trPr>
        <w:tc>
          <w:tcPr>
            <w:tcW w:w="994" w:type="dxa"/>
          </w:tcPr>
          <w:p w14:paraId="0EA9E0A4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4.7</w:t>
            </w:r>
          </w:p>
        </w:tc>
        <w:tc>
          <w:tcPr>
            <w:tcW w:w="5308" w:type="dxa"/>
          </w:tcPr>
          <w:p w14:paraId="261BA3C2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Towards an Indigenous-led research agenda</w:t>
            </w:r>
          </w:p>
        </w:tc>
        <w:tc>
          <w:tcPr>
            <w:tcW w:w="2723" w:type="dxa"/>
          </w:tcPr>
          <w:p w14:paraId="0D661B74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26F991C4" w14:textId="77777777">
        <w:trPr>
          <w:trHeight w:val="606"/>
        </w:trPr>
        <w:tc>
          <w:tcPr>
            <w:tcW w:w="994" w:type="dxa"/>
          </w:tcPr>
          <w:p w14:paraId="76A6A5F3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6.1</w:t>
            </w:r>
          </w:p>
        </w:tc>
        <w:tc>
          <w:tcPr>
            <w:tcW w:w="5308" w:type="dxa"/>
          </w:tcPr>
          <w:p w14:paraId="72394EE4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Towards an Indigenous-led research agenda</w:t>
            </w:r>
          </w:p>
        </w:tc>
        <w:tc>
          <w:tcPr>
            <w:tcW w:w="2723" w:type="dxa"/>
          </w:tcPr>
          <w:p w14:paraId="1B946529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41DBDF38" w14:textId="77777777">
        <w:trPr>
          <w:trHeight w:val="405"/>
        </w:trPr>
        <w:tc>
          <w:tcPr>
            <w:tcW w:w="9025" w:type="dxa"/>
            <w:gridSpan w:val="3"/>
            <w:shd w:val="clear" w:color="auto" w:fill="E7FFBD"/>
          </w:tcPr>
          <w:p w14:paraId="4F59C4B3" w14:textId="77777777" w:rsidR="00C22CA9" w:rsidRPr="00510CB8" w:rsidRDefault="00CC6215">
            <w:pPr>
              <w:pStyle w:val="TableParagraph"/>
              <w:spacing w:before="83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ESCC Hub</w:t>
            </w:r>
          </w:p>
        </w:tc>
      </w:tr>
      <w:tr w:rsidR="00C22CA9" w14:paraId="253DB3D4" w14:textId="77777777">
        <w:trPr>
          <w:trHeight w:val="609"/>
        </w:trPr>
        <w:tc>
          <w:tcPr>
            <w:tcW w:w="994" w:type="dxa"/>
          </w:tcPr>
          <w:p w14:paraId="2B0F392B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3.2</w:t>
            </w:r>
          </w:p>
        </w:tc>
        <w:tc>
          <w:tcPr>
            <w:tcW w:w="5308" w:type="dxa"/>
          </w:tcPr>
          <w:p w14:paraId="0210E797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Meeting Indigenous priorities for climate change information, capacity building and engagement</w:t>
            </w:r>
          </w:p>
        </w:tc>
        <w:tc>
          <w:tcPr>
            <w:tcW w:w="2723" w:type="dxa"/>
          </w:tcPr>
          <w:p w14:paraId="5D912B79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000A84C6" w14:textId="77777777">
        <w:trPr>
          <w:trHeight w:val="606"/>
        </w:trPr>
        <w:tc>
          <w:tcPr>
            <w:tcW w:w="994" w:type="dxa"/>
          </w:tcPr>
          <w:p w14:paraId="4B288197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6.1</w:t>
            </w:r>
          </w:p>
        </w:tc>
        <w:tc>
          <w:tcPr>
            <w:tcW w:w="5308" w:type="dxa"/>
          </w:tcPr>
          <w:p w14:paraId="6C0052D2" w14:textId="77777777" w:rsidR="00C22CA9" w:rsidRDefault="00CC621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Second national Indigenous gathering on climate change –</w:t>
            </w:r>
          </w:p>
          <w:p w14:paraId="637641BE" w14:textId="77777777" w:rsidR="00C22CA9" w:rsidRDefault="00CC621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pathway to sustainable relationships</w:t>
            </w:r>
          </w:p>
        </w:tc>
        <w:tc>
          <w:tcPr>
            <w:tcW w:w="2723" w:type="dxa"/>
          </w:tcPr>
          <w:p w14:paraId="4AC4EED0" w14:textId="77777777" w:rsidR="00C22CA9" w:rsidRDefault="00CC6215">
            <w:pPr>
              <w:pStyle w:val="TableParagraph"/>
              <w:spacing w:before="59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677DD05F" w14:textId="77777777">
        <w:trPr>
          <w:trHeight w:val="609"/>
        </w:trPr>
        <w:tc>
          <w:tcPr>
            <w:tcW w:w="994" w:type="dxa"/>
          </w:tcPr>
          <w:p w14:paraId="2E943FED" w14:textId="77777777" w:rsidR="00C22CA9" w:rsidRDefault="00C22CA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08" w:type="dxa"/>
          </w:tcPr>
          <w:p w14:paraId="08653015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Supporting Indigenous participation at AMOS 2020 conference</w:t>
            </w:r>
          </w:p>
        </w:tc>
        <w:tc>
          <w:tcPr>
            <w:tcW w:w="2723" w:type="dxa"/>
          </w:tcPr>
          <w:p w14:paraId="2CF25399" w14:textId="77777777" w:rsidR="00C22CA9" w:rsidRDefault="00CC621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Hub-wide application of the outcomes</w:t>
            </w:r>
          </w:p>
        </w:tc>
      </w:tr>
      <w:tr w:rsidR="00C22CA9" w14:paraId="53029D84" w14:textId="77777777">
        <w:trPr>
          <w:trHeight w:val="402"/>
        </w:trPr>
        <w:tc>
          <w:tcPr>
            <w:tcW w:w="9025" w:type="dxa"/>
            <w:gridSpan w:val="3"/>
            <w:shd w:val="clear" w:color="auto" w:fill="E7FFBD"/>
          </w:tcPr>
          <w:p w14:paraId="60AFCAC4" w14:textId="77777777" w:rsidR="00C22CA9" w:rsidRPr="00510CB8" w:rsidRDefault="00CC6215">
            <w:pPr>
              <w:pStyle w:val="TableParagraph"/>
              <w:spacing w:before="80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NAER Hub</w:t>
            </w:r>
          </w:p>
        </w:tc>
      </w:tr>
      <w:tr w:rsidR="00C22CA9" w14:paraId="3B7212DB" w14:textId="77777777">
        <w:trPr>
          <w:trHeight w:val="609"/>
        </w:trPr>
        <w:tc>
          <w:tcPr>
            <w:tcW w:w="994" w:type="dxa"/>
          </w:tcPr>
          <w:p w14:paraId="2661A267" w14:textId="77777777" w:rsidR="00C22CA9" w:rsidRPr="00510CB8" w:rsidRDefault="00CC6215">
            <w:pPr>
              <w:pStyle w:val="TableParagraph"/>
              <w:spacing w:before="63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3.3</w:t>
            </w:r>
          </w:p>
        </w:tc>
        <w:tc>
          <w:tcPr>
            <w:tcW w:w="5308" w:type="dxa"/>
          </w:tcPr>
          <w:p w14:paraId="0AA00DE8" w14:textId="77777777" w:rsidR="00C22CA9" w:rsidRDefault="00CC6215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Prioritising Threatened Species in Northern Australia</w:t>
            </w:r>
          </w:p>
        </w:tc>
        <w:tc>
          <w:tcPr>
            <w:tcW w:w="2723" w:type="dxa"/>
          </w:tcPr>
          <w:p w14:paraId="39423182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354C2DAC" w14:textId="77777777">
        <w:trPr>
          <w:trHeight w:val="609"/>
        </w:trPr>
        <w:tc>
          <w:tcPr>
            <w:tcW w:w="994" w:type="dxa"/>
          </w:tcPr>
          <w:p w14:paraId="224A321A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4.3</w:t>
            </w:r>
          </w:p>
        </w:tc>
        <w:tc>
          <w:tcPr>
            <w:tcW w:w="5308" w:type="dxa"/>
          </w:tcPr>
          <w:p w14:paraId="1370E16B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Developing eDNA methods for tropical waters</w:t>
            </w:r>
          </w:p>
        </w:tc>
        <w:tc>
          <w:tcPr>
            <w:tcW w:w="2723" w:type="dxa"/>
          </w:tcPr>
          <w:p w14:paraId="6C8494C5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32CF5028" w14:textId="77777777">
        <w:trPr>
          <w:trHeight w:val="606"/>
        </w:trPr>
        <w:tc>
          <w:tcPr>
            <w:tcW w:w="994" w:type="dxa"/>
          </w:tcPr>
          <w:p w14:paraId="4680ECBC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4.5</w:t>
            </w:r>
          </w:p>
        </w:tc>
        <w:tc>
          <w:tcPr>
            <w:tcW w:w="5308" w:type="dxa"/>
          </w:tcPr>
          <w:p w14:paraId="5B06CC8D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Developing eDNA methods to detect Top End animals</w:t>
            </w:r>
          </w:p>
        </w:tc>
        <w:tc>
          <w:tcPr>
            <w:tcW w:w="2723" w:type="dxa"/>
          </w:tcPr>
          <w:p w14:paraId="2EE21869" w14:textId="77777777" w:rsidR="00C22CA9" w:rsidRDefault="00CC6215">
            <w:pPr>
              <w:pStyle w:val="TableParagraph"/>
              <w:spacing w:before="59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21ABC323" w14:textId="77777777">
        <w:trPr>
          <w:trHeight w:val="609"/>
        </w:trPr>
        <w:tc>
          <w:tcPr>
            <w:tcW w:w="994" w:type="dxa"/>
          </w:tcPr>
          <w:p w14:paraId="5642EA78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5.1</w:t>
            </w:r>
          </w:p>
        </w:tc>
        <w:tc>
          <w:tcPr>
            <w:tcW w:w="5308" w:type="dxa"/>
          </w:tcPr>
          <w:p w14:paraId="6029D290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Research Priorities for Indigenous Protected Areas Across Northern Australia</w:t>
            </w:r>
          </w:p>
        </w:tc>
        <w:tc>
          <w:tcPr>
            <w:tcW w:w="2723" w:type="dxa"/>
          </w:tcPr>
          <w:p w14:paraId="3F7FB767" w14:textId="77777777" w:rsidR="00C22CA9" w:rsidRDefault="00CC6215">
            <w:pPr>
              <w:pStyle w:val="TableParagraph"/>
              <w:ind w:left="106" w:right="420"/>
              <w:rPr>
                <w:sz w:val="20"/>
              </w:rPr>
            </w:pPr>
            <w:r>
              <w:rPr>
                <w:sz w:val="20"/>
              </w:rPr>
              <w:t>IPA-wide application of the outcomes</w:t>
            </w:r>
          </w:p>
        </w:tc>
      </w:tr>
      <w:tr w:rsidR="00C22CA9" w14:paraId="2F59780C" w14:textId="77777777">
        <w:trPr>
          <w:trHeight w:val="607"/>
        </w:trPr>
        <w:tc>
          <w:tcPr>
            <w:tcW w:w="994" w:type="dxa"/>
          </w:tcPr>
          <w:p w14:paraId="5569CB96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5.2</w:t>
            </w:r>
          </w:p>
        </w:tc>
        <w:tc>
          <w:tcPr>
            <w:tcW w:w="5308" w:type="dxa"/>
          </w:tcPr>
          <w:p w14:paraId="56B42A55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Lessons from Top End Indigenous Fire Management</w:t>
            </w:r>
          </w:p>
        </w:tc>
        <w:tc>
          <w:tcPr>
            <w:tcW w:w="2723" w:type="dxa"/>
          </w:tcPr>
          <w:p w14:paraId="58C8EDD9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54296AF7" w14:textId="77777777">
        <w:trPr>
          <w:trHeight w:val="609"/>
        </w:trPr>
        <w:tc>
          <w:tcPr>
            <w:tcW w:w="994" w:type="dxa"/>
          </w:tcPr>
          <w:p w14:paraId="165F3283" w14:textId="77777777" w:rsidR="00C22CA9" w:rsidRPr="00510CB8" w:rsidRDefault="00CC6215">
            <w:pPr>
              <w:pStyle w:val="TableParagraph"/>
              <w:spacing w:before="63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5.3</w:t>
            </w:r>
          </w:p>
        </w:tc>
        <w:tc>
          <w:tcPr>
            <w:tcW w:w="5308" w:type="dxa"/>
          </w:tcPr>
          <w:p w14:paraId="5D21905F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Multiple Benefits of Indigenous Land and Sea Management Programs</w:t>
            </w:r>
          </w:p>
        </w:tc>
        <w:tc>
          <w:tcPr>
            <w:tcW w:w="2723" w:type="dxa"/>
          </w:tcPr>
          <w:p w14:paraId="6BAC82F9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1AE4A497" w14:textId="77777777">
        <w:trPr>
          <w:trHeight w:val="609"/>
        </w:trPr>
        <w:tc>
          <w:tcPr>
            <w:tcW w:w="994" w:type="dxa"/>
          </w:tcPr>
          <w:p w14:paraId="53F95DC5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5.4</w:t>
            </w:r>
          </w:p>
        </w:tc>
        <w:tc>
          <w:tcPr>
            <w:tcW w:w="5308" w:type="dxa"/>
          </w:tcPr>
          <w:p w14:paraId="208F38D1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Knowledge Brokering for Indigenous Land Management</w:t>
            </w:r>
          </w:p>
        </w:tc>
        <w:tc>
          <w:tcPr>
            <w:tcW w:w="2723" w:type="dxa"/>
          </w:tcPr>
          <w:p w14:paraId="31837322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536ADC4D" w14:textId="77777777">
        <w:trPr>
          <w:trHeight w:val="606"/>
        </w:trPr>
        <w:tc>
          <w:tcPr>
            <w:tcW w:w="994" w:type="dxa"/>
          </w:tcPr>
          <w:p w14:paraId="508AE209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5.6</w:t>
            </w:r>
          </w:p>
        </w:tc>
        <w:tc>
          <w:tcPr>
            <w:tcW w:w="5308" w:type="dxa"/>
          </w:tcPr>
          <w:p w14:paraId="7B0E6169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Investing in Indigenous cultural and natural resource managers</w:t>
            </w:r>
          </w:p>
        </w:tc>
        <w:tc>
          <w:tcPr>
            <w:tcW w:w="2723" w:type="dxa"/>
          </w:tcPr>
          <w:p w14:paraId="71BBF9CB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034FE16A" w14:textId="77777777">
        <w:trPr>
          <w:trHeight w:val="609"/>
        </w:trPr>
        <w:tc>
          <w:tcPr>
            <w:tcW w:w="994" w:type="dxa"/>
          </w:tcPr>
          <w:p w14:paraId="4592640B" w14:textId="77777777" w:rsidR="00C22CA9" w:rsidRPr="00510CB8" w:rsidRDefault="00CC6215">
            <w:pPr>
              <w:pStyle w:val="TableParagraph"/>
              <w:ind w:left="295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6.3.3</w:t>
            </w:r>
          </w:p>
        </w:tc>
        <w:tc>
          <w:tcPr>
            <w:tcW w:w="5308" w:type="dxa"/>
          </w:tcPr>
          <w:p w14:paraId="1C14CD52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 Connections</w:t>
            </w:r>
          </w:p>
        </w:tc>
        <w:tc>
          <w:tcPr>
            <w:tcW w:w="2723" w:type="dxa"/>
          </w:tcPr>
          <w:p w14:paraId="651575AA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</w:tbl>
    <w:p w14:paraId="2A874D24" w14:textId="77777777" w:rsidR="00C22CA9" w:rsidRDefault="00C22CA9">
      <w:pPr>
        <w:rPr>
          <w:sz w:val="20"/>
        </w:rPr>
        <w:sectPr w:rsidR="00C22CA9" w:rsidSect="00510CB8">
          <w:footerReference w:type="default" r:id="rId6"/>
          <w:type w:val="continuous"/>
          <w:pgSz w:w="11910" w:h="16840"/>
          <w:pgMar w:top="1440" w:right="1200" w:bottom="860" w:left="1420" w:header="720" w:footer="667" w:gutter="0"/>
          <w:pgNumType w:start="402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5308"/>
        <w:gridCol w:w="2723"/>
      </w:tblGrid>
      <w:tr w:rsidR="00C22CA9" w:rsidRPr="00510CB8" w14:paraId="0221D017" w14:textId="77777777">
        <w:trPr>
          <w:trHeight w:val="484"/>
        </w:trPr>
        <w:tc>
          <w:tcPr>
            <w:tcW w:w="994" w:type="dxa"/>
            <w:shd w:val="clear" w:color="auto" w:fill="E7FFBD"/>
          </w:tcPr>
          <w:p w14:paraId="23A7294F" w14:textId="77777777" w:rsidR="00C22CA9" w:rsidRPr="00510CB8" w:rsidRDefault="00CC6215">
            <w:pPr>
              <w:pStyle w:val="TableParagraph"/>
              <w:spacing w:before="121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lastRenderedPageBreak/>
              <w:t>Number</w:t>
            </w:r>
          </w:p>
        </w:tc>
        <w:tc>
          <w:tcPr>
            <w:tcW w:w="5308" w:type="dxa"/>
            <w:shd w:val="clear" w:color="auto" w:fill="E7FFBD"/>
          </w:tcPr>
          <w:p w14:paraId="5EE89443" w14:textId="77777777" w:rsidR="00C22CA9" w:rsidRPr="00510CB8" w:rsidRDefault="00CC6215">
            <w:pPr>
              <w:pStyle w:val="TableParagraph"/>
              <w:spacing w:before="121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Project Title</w:t>
            </w:r>
          </w:p>
        </w:tc>
        <w:tc>
          <w:tcPr>
            <w:tcW w:w="2723" w:type="dxa"/>
            <w:shd w:val="clear" w:color="auto" w:fill="E7FFBD"/>
          </w:tcPr>
          <w:p w14:paraId="1B8CC301" w14:textId="77777777" w:rsidR="00C22CA9" w:rsidRPr="00510CB8" w:rsidRDefault="00CC6215">
            <w:pPr>
              <w:pStyle w:val="TableParagraph"/>
              <w:spacing w:before="121"/>
              <w:ind w:left="106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Reason not mapped</w:t>
            </w:r>
          </w:p>
        </w:tc>
      </w:tr>
      <w:tr w:rsidR="00C22CA9" w:rsidRPr="00510CB8" w14:paraId="25F29D18" w14:textId="77777777">
        <w:trPr>
          <w:trHeight w:val="402"/>
        </w:trPr>
        <w:tc>
          <w:tcPr>
            <w:tcW w:w="9025" w:type="dxa"/>
            <w:gridSpan w:val="3"/>
            <w:shd w:val="clear" w:color="auto" w:fill="E7FFBD"/>
          </w:tcPr>
          <w:p w14:paraId="6638A3D9" w14:textId="77777777" w:rsidR="00C22CA9" w:rsidRPr="00510CB8" w:rsidRDefault="00CC6215">
            <w:pPr>
              <w:pStyle w:val="TableParagraph"/>
              <w:spacing w:before="80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TSR Hub</w:t>
            </w:r>
          </w:p>
        </w:tc>
      </w:tr>
      <w:tr w:rsidR="00C22CA9" w14:paraId="65D02BE6" w14:textId="77777777">
        <w:trPr>
          <w:trHeight w:val="853"/>
        </w:trPr>
        <w:tc>
          <w:tcPr>
            <w:tcW w:w="994" w:type="dxa"/>
          </w:tcPr>
          <w:p w14:paraId="6781635B" w14:textId="77777777" w:rsidR="00C22CA9" w:rsidRPr="00510CB8" w:rsidRDefault="00CC6215">
            <w:pPr>
              <w:pStyle w:val="TableParagraph"/>
              <w:ind w:left="295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1.4.1</w:t>
            </w:r>
          </w:p>
        </w:tc>
        <w:tc>
          <w:tcPr>
            <w:tcW w:w="5308" w:type="dxa"/>
          </w:tcPr>
          <w:p w14:paraId="69CD7864" w14:textId="77777777" w:rsidR="00C22CA9" w:rsidRDefault="00CC6215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Chytrid, fish, and fragmentation: Conservation of frogs, fish and crayfish achieved by managing multiple threats at a landscape level</w:t>
            </w:r>
          </w:p>
        </w:tc>
        <w:tc>
          <w:tcPr>
            <w:tcW w:w="2723" w:type="dxa"/>
          </w:tcPr>
          <w:p w14:paraId="0A908878" w14:textId="77777777" w:rsidR="00C22CA9" w:rsidRDefault="00CC621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Hub-wide application of the outcomes</w:t>
            </w:r>
          </w:p>
        </w:tc>
      </w:tr>
      <w:tr w:rsidR="00C22CA9" w14:paraId="466C22D8" w14:textId="77777777">
        <w:trPr>
          <w:trHeight w:val="851"/>
        </w:trPr>
        <w:tc>
          <w:tcPr>
            <w:tcW w:w="994" w:type="dxa"/>
          </w:tcPr>
          <w:p w14:paraId="7E30FB41" w14:textId="77777777" w:rsidR="00C22CA9" w:rsidRPr="00510CB8" w:rsidRDefault="00CC6215">
            <w:pPr>
              <w:pStyle w:val="TableParagraph"/>
              <w:ind w:left="295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3.2.5</w:t>
            </w:r>
          </w:p>
        </w:tc>
        <w:tc>
          <w:tcPr>
            <w:tcW w:w="5308" w:type="dxa"/>
          </w:tcPr>
          <w:p w14:paraId="3823F19D" w14:textId="77777777" w:rsidR="00C22CA9" w:rsidRDefault="00CC6215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Developing a coordinated monitoring program for threatened vertebrates, their </w:t>
            </w:r>
            <w:proofErr w:type="gramStart"/>
            <w:r>
              <w:rPr>
                <w:sz w:val="20"/>
              </w:rPr>
              <w:t>threats</w:t>
            </w:r>
            <w:proofErr w:type="gramEnd"/>
            <w:r>
              <w:rPr>
                <w:sz w:val="20"/>
              </w:rPr>
              <w:t xml:space="preserve"> and the effectiveness of management investment across arid and semi-arid Australia</w:t>
            </w:r>
          </w:p>
        </w:tc>
        <w:tc>
          <w:tcPr>
            <w:tcW w:w="2723" w:type="dxa"/>
          </w:tcPr>
          <w:p w14:paraId="55F8D765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79EA4572" w14:textId="77777777">
        <w:trPr>
          <w:trHeight w:val="609"/>
        </w:trPr>
        <w:tc>
          <w:tcPr>
            <w:tcW w:w="994" w:type="dxa"/>
          </w:tcPr>
          <w:p w14:paraId="3D819A8D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6.2</w:t>
            </w:r>
          </w:p>
        </w:tc>
        <w:tc>
          <w:tcPr>
            <w:tcW w:w="5308" w:type="dxa"/>
          </w:tcPr>
          <w:p w14:paraId="3012E426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Collaborating with Indigenous people in threatened species research and management</w:t>
            </w:r>
          </w:p>
        </w:tc>
        <w:tc>
          <w:tcPr>
            <w:tcW w:w="2723" w:type="dxa"/>
          </w:tcPr>
          <w:p w14:paraId="5FC73FDF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5F3A4651" w14:textId="77777777">
        <w:trPr>
          <w:trHeight w:val="361"/>
        </w:trPr>
        <w:tc>
          <w:tcPr>
            <w:tcW w:w="994" w:type="dxa"/>
          </w:tcPr>
          <w:p w14:paraId="2B7714C9" w14:textId="77777777" w:rsidR="00C22CA9" w:rsidRPr="00510CB8" w:rsidRDefault="00CC6215">
            <w:pPr>
              <w:pStyle w:val="TableParagraph"/>
              <w:ind w:left="295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6.3.4</w:t>
            </w:r>
          </w:p>
        </w:tc>
        <w:tc>
          <w:tcPr>
            <w:tcW w:w="5308" w:type="dxa"/>
          </w:tcPr>
          <w:p w14:paraId="12652BEE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Iconic species in schools</w:t>
            </w:r>
          </w:p>
        </w:tc>
        <w:tc>
          <w:tcPr>
            <w:tcW w:w="2723" w:type="dxa"/>
          </w:tcPr>
          <w:p w14:paraId="4E52F2D2" w14:textId="77777777" w:rsidR="00C22CA9" w:rsidRDefault="00CC621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National application</w:t>
            </w:r>
          </w:p>
        </w:tc>
      </w:tr>
      <w:tr w:rsidR="00C22CA9" w14:paraId="7F2316D2" w14:textId="77777777">
        <w:trPr>
          <w:trHeight w:val="609"/>
        </w:trPr>
        <w:tc>
          <w:tcPr>
            <w:tcW w:w="994" w:type="dxa"/>
          </w:tcPr>
          <w:p w14:paraId="59A87E12" w14:textId="77777777" w:rsidR="00C22CA9" w:rsidRPr="00510CB8" w:rsidRDefault="00CC6215">
            <w:pPr>
              <w:pStyle w:val="TableParagraph"/>
              <w:spacing w:before="63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6.6</w:t>
            </w:r>
          </w:p>
        </w:tc>
        <w:tc>
          <w:tcPr>
            <w:tcW w:w="5308" w:type="dxa"/>
          </w:tcPr>
          <w:p w14:paraId="2FF960EA" w14:textId="77777777" w:rsidR="00C22CA9" w:rsidRDefault="00CC6215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Key factors for effective partner integration and governance for threatened species recovery</w:t>
            </w:r>
          </w:p>
        </w:tc>
        <w:tc>
          <w:tcPr>
            <w:tcW w:w="2723" w:type="dxa"/>
          </w:tcPr>
          <w:p w14:paraId="0D07CBD3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28C663DA" w14:textId="77777777">
        <w:trPr>
          <w:trHeight w:val="609"/>
        </w:trPr>
        <w:tc>
          <w:tcPr>
            <w:tcW w:w="994" w:type="dxa"/>
          </w:tcPr>
          <w:p w14:paraId="002F66D6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7.4</w:t>
            </w:r>
          </w:p>
        </w:tc>
        <w:tc>
          <w:tcPr>
            <w:tcW w:w="5308" w:type="dxa"/>
          </w:tcPr>
          <w:p w14:paraId="3588CCA0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 management knowledge exchange</w:t>
            </w:r>
          </w:p>
        </w:tc>
        <w:tc>
          <w:tcPr>
            <w:tcW w:w="2723" w:type="dxa"/>
          </w:tcPr>
          <w:p w14:paraId="5C1EE865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1764A1F9" w14:textId="77777777">
        <w:trPr>
          <w:trHeight w:val="606"/>
        </w:trPr>
        <w:tc>
          <w:tcPr>
            <w:tcW w:w="994" w:type="dxa"/>
          </w:tcPr>
          <w:p w14:paraId="5DF17105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7.5</w:t>
            </w:r>
          </w:p>
        </w:tc>
        <w:tc>
          <w:tcPr>
            <w:tcW w:w="5308" w:type="dxa"/>
          </w:tcPr>
          <w:p w14:paraId="1289A9F5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National monitoring priorities, </w:t>
            </w:r>
            <w:proofErr w:type="gramStart"/>
            <w:r>
              <w:rPr>
                <w:sz w:val="20"/>
              </w:rPr>
              <w:t>process</w:t>
            </w:r>
            <w:proofErr w:type="gramEnd"/>
            <w:r>
              <w:rPr>
                <w:sz w:val="20"/>
              </w:rPr>
              <w:t xml:space="preserve"> and prospectus for threatened spec</w:t>
            </w:r>
          </w:p>
        </w:tc>
        <w:tc>
          <w:tcPr>
            <w:tcW w:w="2723" w:type="dxa"/>
          </w:tcPr>
          <w:p w14:paraId="4649C703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:rsidRPr="00510CB8" w14:paraId="3167FA17" w14:textId="77777777">
        <w:trPr>
          <w:trHeight w:val="405"/>
        </w:trPr>
        <w:tc>
          <w:tcPr>
            <w:tcW w:w="9025" w:type="dxa"/>
            <w:gridSpan w:val="3"/>
            <w:shd w:val="clear" w:color="auto" w:fill="E7FFBD"/>
          </w:tcPr>
          <w:p w14:paraId="0AA685CF" w14:textId="77777777" w:rsidR="00C22CA9" w:rsidRPr="00510CB8" w:rsidRDefault="00CC6215">
            <w:pPr>
              <w:pStyle w:val="TableParagraph"/>
              <w:spacing w:before="80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TWQ Hub</w:t>
            </w:r>
          </w:p>
        </w:tc>
      </w:tr>
      <w:tr w:rsidR="00C22CA9" w14:paraId="339CB322" w14:textId="77777777">
        <w:trPr>
          <w:trHeight w:val="609"/>
        </w:trPr>
        <w:tc>
          <w:tcPr>
            <w:tcW w:w="994" w:type="dxa"/>
          </w:tcPr>
          <w:p w14:paraId="7CF21E6A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3.9</w:t>
            </w:r>
          </w:p>
        </w:tc>
        <w:tc>
          <w:tcPr>
            <w:tcW w:w="5308" w:type="dxa"/>
          </w:tcPr>
          <w:p w14:paraId="6F85D572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Indigenous capacity building and increased participation in management of Queensland sea Country</w:t>
            </w:r>
          </w:p>
        </w:tc>
        <w:tc>
          <w:tcPr>
            <w:tcW w:w="2723" w:type="dxa"/>
          </w:tcPr>
          <w:p w14:paraId="7C5A69E0" w14:textId="77777777" w:rsidR="00C22CA9" w:rsidRDefault="00CC621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Hub-wide application of the outcomes</w:t>
            </w:r>
          </w:p>
        </w:tc>
      </w:tr>
      <w:tr w:rsidR="00C22CA9" w14:paraId="1FA086C2" w14:textId="77777777">
        <w:trPr>
          <w:trHeight w:val="606"/>
        </w:trPr>
        <w:tc>
          <w:tcPr>
            <w:tcW w:w="994" w:type="dxa"/>
          </w:tcPr>
          <w:p w14:paraId="1D90E377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6.2</w:t>
            </w:r>
          </w:p>
        </w:tc>
        <w:tc>
          <w:tcPr>
            <w:tcW w:w="5308" w:type="dxa"/>
          </w:tcPr>
          <w:p w14:paraId="5A7303FA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Restoring ecosystems from catchment to reef</w:t>
            </w:r>
          </w:p>
        </w:tc>
        <w:tc>
          <w:tcPr>
            <w:tcW w:w="2723" w:type="dxa"/>
          </w:tcPr>
          <w:p w14:paraId="096C6D0F" w14:textId="77777777" w:rsidR="00C22CA9" w:rsidRDefault="00CC6215">
            <w:pPr>
              <w:pStyle w:val="TableParagraph"/>
              <w:spacing w:before="59"/>
              <w:ind w:left="106"/>
              <w:rPr>
                <w:sz w:val="20"/>
              </w:rPr>
            </w:pPr>
            <w:r>
              <w:rPr>
                <w:sz w:val="20"/>
              </w:rPr>
              <w:t>Hub-wide application of the outcomes</w:t>
            </w:r>
          </w:p>
        </w:tc>
      </w:tr>
      <w:tr w:rsidR="00C22CA9" w14:paraId="6D78D9B9" w14:textId="77777777">
        <w:trPr>
          <w:trHeight w:val="609"/>
        </w:trPr>
        <w:tc>
          <w:tcPr>
            <w:tcW w:w="994" w:type="dxa"/>
          </w:tcPr>
          <w:p w14:paraId="6C5E7DB1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6.3</w:t>
            </w:r>
          </w:p>
        </w:tc>
        <w:tc>
          <w:tcPr>
            <w:tcW w:w="5308" w:type="dxa"/>
          </w:tcPr>
          <w:p w14:paraId="0008D881" w14:textId="77777777" w:rsidR="00C22CA9" w:rsidRDefault="00CC6215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Reducing nitrogen runoff without reducing industry productivity</w:t>
            </w:r>
          </w:p>
        </w:tc>
        <w:tc>
          <w:tcPr>
            <w:tcW w:w="2723" w:type="dxa"/>
          </w:tcPr>
          <w:p w14:paraId="6E66813C" w14:textId="77777777" w:rsidR="00C22CA9" w:rsidRDefault="00CC621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Hub-wide application of the outcomes</w:t>
            </w:r>
          </w:p>
        </w:tc>
      </w:tr>
      <w:tr w:rsidR="00C22CA9" w14:paraId="5C8DDBA0" w14:textId="77777777">
        <w:trPr>
          <w:trHeight w:val="607"/>
        </w:trPr>
        <w:tc>
          <w:tcPr>
            <w:tcW w:w="994" w:type="dxa"/>
          </w:tcPr>
          <w:p w14:paraId="504590A8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6.4</w:t>
            </w:r>
          </w:p>
        </w:tc>
        <w:tc>
          <w:tcPr>
            <w:tcW w:w="5308" w:type="dxa"/>
          </w:tcPr>
          <w:p w14:paraId="17CB6004" w14:textId="77777777" w:rsidR="00C22CA9" w:rsidRDefault="00CC6215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Reducing end-of-catchment fine sediment loads and ecosystem impacts</w:t>
            </w:r>
          </w:p>
        </w:tc>
        <w:tc>
          <w:tcPr>
            <w:tcW w:w="2723" w:type="dxa"/>
          </w:tcPr>
          <w:p w14:paraId="702F2AE7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364E9712" w14:textId="77777777">
        <w:trPr>
          <w:trHeight w:val="609"/>
        </w:trPr>
        <w:tc>
          <w:tcPr>
            <w:tcW w:w="994" w:type="dxa"/>
          </w:tcPr>
          <w:p w14:paraId="492F5EC5" w14:textId="77777777" w:rsidR="00C22CA9" w:rsidRPr="00510CB8" w:rsidRDefault="00CC6215">
            <w:pPr>
              <w:pStyle w:val="TableParagraph"/>
              <w:spacing w:before="63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6.7</w:t>
            </w:r>
          </w:p>
        </w:tc>
        <w:tc>
          <w:tcPr>
            <w:tcW w:w="5308" w:type="dxa"/>
          </w:tcPr>
          <w:p w14:paraId="395376A5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Learnings from applied environmental research programs: Elements for success</w:t>
            </w:r>
          </w:p>
        </w:tc>
        <w:tc>
          <w:tcPr>
            <w:tcW w:w="2723" w:type="dxa"/>
          </w:tcPr>
          <w:p w14:paraId="51FB71EE" w14:textId="77777777" w:rsidR="00C22CA9" w:rsidRDefault="00CC6215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Hub/NESP-wide application of the outcomes</w:t>
            </w:r>
          </w:p>
        </w:tc>
      </w:tr>
      <w:tr w:rsidR="00C22CA9" w14:paraId="196FBEA2" w14:textId="77777777">
        <w:trPr>
          <w:trHeight w:val="609"/>
        </w:trPr>
        <w:tc>
          <w:tcPr>
            <w:tcW w:w="994" w:type="dxa"/>
          </w:tcPr>
          <w:p w14:paraId="00065EB1" w14:textId="77777777" w:rsidR="00C22CA9" w:rsidRPr="00510CB8" w:rsidRDefault="00CC6215">
            <w:pPr>
              <w:pStyle w:val="TableParagraph"/>
              <w:ind w:left="348" w:right="344"/>
              <w:jc w:val="center"/>
              <w:rPr>
                <w:b/>
                <w:bCs/>
                <w:sz w:val="20"/>
              </w:rPr>
            </w:pPr>
            <w:r w:rsidRPr="00510CB8">
              <w:rPr>
                <w:b/>
                <w:bCs/>
                <w:sz w:val="20"/>
              </w:rPr>
              <w:t>6.8</w:t>
            </w:r>
          </w:p>
        </w:tc>
        <w:tc>
          <w:tcPr>
            <w:tcW w:w="5308" w:type="dxa"/>
          </w:tcPr>
          <w:p w14:paraId="0F6B54EA" w14:textId="77777777" w:rsidR="00C22CA9" w:rsidRDefault="00CC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Integrated Environmental Assessment to inform Environmental decisions</w:t>
            </w:r>
          </w:p>
        </w:tc>
        <w:tc>
          <w:tcPr>
            <w:tcW w:w="2723" w:type="dxa"/>
          </w:tcPr>
          <w:p w14:paraId="23A559B8" w14:textId="77777777" w:rsidR="00C22CA9" w:rsidRDefault="00CC621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National application</w:t>
            </w:r>
          </w:p>
        </w:tc>
      </w:tr>
    </w:tbl>
    <w:p w14:paraId="6EF1057F" w14:textId="77777777" w:rsidR="00CC6215" w:rsidRDefault="00CC6215"/>
    <w:sectPr w:rsidR="00CC6215">
      <w:pgSz w:w="11910" w:h="16840"/>
      <w:pgMar w:top="1400" w:right="1200" w:bottom="860" w:left="142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2D715" w14:textId="77777777" w:rsidR="00C54C78" w:rsidRDefault="00C54C78">
      <w:r>
        <w:separator/>
      </w:r>
    </w:p>
  </w:endnote>
  <w:endnote w:type="continuationSeparator" w:id="0">
    <w:p w14:paraId="2D089C62" w14:textId="77777777" w:rsidR="00C54C78" w:rsidRDefault="00C5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AEF35" w14:textId="77777777" w:rsidR="00C22CA9" w:rsidRDefault="00CC621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A51D0AB" wp14:editId="2FBF259C">
          <wp:simplePos x="0" y="0"/>
          <wp:positionH relativeFrom="page">
            <wp:posOffset>3653838</wp:posOffset>
          </wp:positionH>
          <wp:positionV relativeFrom="page">
            <wp:posOffset>10327250</wp:posOffset>
          </wp:positionV>
          <wp:extent cx="523142" cy="2084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142" cy="208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C78">
      <w:pict w14:anchorId="5312A4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2pt;margin-top:793.6pt;width:18.25pt;height:10.05pt;z-index:-251658240;mso-position-horizontal-relative:page;mso-position-vertical-relative:page" filled="f" stroked="f">
          <v:textbox inset="0,0,0,0">
            <w:txbxContent>
              <w:p w14:paraId="0D369EAE" w14:textId="77777777" w:rsidR="00C22CA9" w:rsidRDefault="00CC6215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7E7E7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6256B" w14:textId="77777777" w:rsidR="00C54C78" w:rsidRDefault="00C54C78">
      <w:r>
        <w:separator/>
      </w:r>
    </w:p>
  </w:footnote>
  <w:footnote w:type="continuationSeparator" w:id="0">
    <w:p w14:paraId="0854B91A" w14:textId="77777777" w:rsidR="00C54C78" w:rsidRDefault="00C5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CA9"/>
    <w:rsid w:val="0046754A"/>
    <w:rsid w:val="00510CB8"/>
    <w:rsid w:val="00C22CA9"/>
    <w:rsid w:val="00C54C78"/>
    <w:rsid w:val="00C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49DA44"/>
  <w15:docId w15:val="{19577002-0F9F-47D6-BD52-C49E4511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Engagement in the National Environmental Research Program (NESP)</dc:title>
  <dc:creator>Tara Callinan</dc:creator>
  <cp:lastModifiedBy>Ed Wensing</cp:lastModifiedBy>
  <cp:revision>3</cp:revision>
  <dcterms:created xsi:type="dcterms:W3CDTF">2021-01-20T23:58:00Z</dcterms:created>
  <dcterms:modified xsi:type="dcterms:W3CDTF">2021-01-21T10:07:00Z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2021-01-20T00:00:00Z</vt:filetime>
  </property>
</Properties>
</file>