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ABDC9" w14:textId="77777777" w:rsidR="002050C6" w:rsidRDefault="00170417">
      <w:pPr>
        <w:pStyle w:val="Title"/>
        <w:spacing w:line="641" w:lineRule="exact"/>
      </w:pPr>
      <w:r>
        <w:rPr>
          <w:color w:val="7E7E7E"/>
        </w:rPr>
        <w:t>APPENDIX L: COMPONENTS OF THE</w:t>
      </w:r>
    </w:p>
    <w:p w14:paraId="0DFF7BA6" w14:textId="77777777" w:rsidR="002050C6" w:rsidRDefault="00170417">
      <w:pPr>
        <w:pStyle w:val="Title"/>
        <w:spacing w:before="3"/>
      </w:pPr>
      <w:r>
        <w:pict w14:anchorId="5B67C5D2">
          <v:rect id="_x0000_s1026" style="position:absolute;left:0;text-align:left;margin-left:76.6pt;margin-top:46.35pt;width:463.5pt;height:.95pt;z-index:15728640;mso-position-horizontal-relative:page" fillcolor="#92c753" stroked="f">
            <w10:wrap anchorx="page"/>
          </v:rect>
        </w:pict>
      </w:r>
      <w:r>
        <w:rPr>
          <w:color w:val="7E7E7E"/>
        </w:rPr>
        <w:t>INDIGENOUS ESTATE</w:t>
      </w:r>
    </w:p>
    <w:p w14:paraId="1D37488D" w14:textId="77777777" w:rsidR="002050C6" w:rsidRDefault="002050C6">
      <w:pPr>
        <w:pStyle w:val="BodyText"/>
        <w:rPr>
          <w:rFonts w:ascii="Calibri"/>
          <w:sz w:val="20"/>
        </w:rPr>
      </w:pPr>
    </w:p>
    <w:p w14:paraId="6CE71A5E" w14:textId="77777777" w:rsidR="002050C6" w:rsidRDefault="002050C6">
      <w:pPr>
        <w:pStyle w:val="BodyText"/>
        <w:rPr>
          <w:rFonts w:ascii="Calibri"/>
          <w:sz w:val="20"/>
        </w:rPr>
      </w:pPr>
    </w:p>
    <w:p w14:paraId="78EB7D7C" w14:textId="77777777" w:rsidR="002050C6" w:rsidRDefault="002050C6">
      <w:pPr>
        <w:pStyle w:val="BodyText"/>
        <w:spacing w:before="9"/>
        <w:rPr>
          <w:rFonts w:ascii="Calibri"/>
          <w:sz w:val="25"/>
        </w:rPr>
      </w:pPr>
    </w:p>
    <w:p w14:paraId="7D39E944" w14:textId="135FF9AD" w:rsidR="002050C6" w:rsidRPr="00684270" w:rsidRDefault="00170417">
      <w:pPr>
        <w:spacing w:before="59"/>
        <w:ind w:left="140"/>
        <w:rPr>
          <w:b/>
          <w:bCs/>
          <w:sz w:val="21"/>
        </w:rPr>
      </w:pPr>
      <w:r w:rsidRPr="00684270">
        <w:rPr>
          <w:b/>
          <w:bCs/>
          <w:color w:val="404040"/>
          <w:sz w:val="21"/>
        </w:rPr>
        <w:t xml:space="preserve">Table </w:t>
      </w:r>
      <w:r w:rsidR="00684270" w:rsidRPr="00684270">
        <w:rPr>
          <w:b/>
          <w:bCs/>
          <w:color w:val="404040"/>
          <w:sz w:val="21"/>
        </w:rPr>
        <w:t>L</w:t>
      </w:r>
      <w:r w:rsidRPr="00684270">
        <w:rPr>
          <w:b/>
          <w:bCs/>
          <w:color w:val="404040"/>
          <w:sz w:val="21"/>
        </w:rPr>
        <w:t>.</w:t>
      </w:r>
      <w:r w:rsidR="00684270" w:rsidRPr="00684270">
        <w:rPr>
          <w:b/>
          <w:bCs/>
          <w:color w:val="404040"/>
          <w:sz w:val="21"/>
        </w:rPr>
        <w:t>1</w:t>
      </w:r>
      <w:r w:rsidRPr="00684270">
        <w:rPr>
          <w:b/>
          <w:bCs/>
          <w:color w:val="404040"/>
          <w:sz w:val="21"/>
        </w:rPr>
        <w:t xml:space="preserve"> Components of the Indigenous Estate</w:t>
      </w:r>
    </w:p>
    <w:p w14:paraId="31B6D336" w14:textId="77777777" w:rsidR="002050C6" w:rsidRDefault="002050C6">
      <w:pPr>
        <w:pStyle w:val="BodyText"/>
        <w:spacing w:before="8" w:after="1"/>
        <w:rPr>
          <w:sz w:val="9"/>
        </w:rPr>
      </w:pPr>
    </w:p>
    <w:tbl>
      <w:tblPr>
        <w:tblW w:w="0" w:type="auto"/>
        <w:tblInd w:w="15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188"/>
      </w:tblGrid>
      <w:tr w:rsidR="002050C6" w:rsidRPr="00684270" w14:paraId="4B9FCBB9" w14:textId="77777777">
        <w:trPr>
          <w:trHeight w:val="496"/>
        </w:trPr>
        <w:tc>
          <w:tcPr>
            <w:tcW w:w="2830" w:type="dxa"/>
            <w:shd w:val="clear" w:color="auto" w:fill="E7FFBD"/>
          </w:tcPr>
          <w:p w14:paraId="4DD17BAF" w14:textId="77777777" w:rsidR="002050C6" w:rsidRPr="00684270" w:rsidRDefault="00170417">
            <w:pPr>
              <w:pStyle w:val="TableParagraph"/>
              <w:spacing w:before="121"/>
              <w:rPr>
                <w:b/>
                <w:bCs/>
                <w:sz w:val="21"/>
              </w:rPr>
            </w:pPr>
            <w:r w:rsidRPr="00684270">
              <w:rPr>
                <w:b/>
                <w:bCs/>
                <w:sz w:val="21"/>
              </w:rPr>
              <w:t>Component</w:t>
            </w:r>
          </w:p>
        </w:tc>
        <w:tc>
          <w:tcPr>
            <w:tcW w:w="6188" w:type="dxa"/>
            <w:shd w:val="clear" w:color="auto" w:fill="E7FFBD"/>
          </w:tcPr>
          <w:p w14:paraId="7882C3D5" w14:textId="77777777" w:rsidR="002050C6" w:rsidRPr="00684270" w:rsidRDefault="00170417">
            <w:pPr>
              <w:pStyle w:val="TableParagraph"/>
              <w:spacing w:before="121"/>
              <w:rPr>
                <w:b/>
                <w:bCs/>
                <w:sz w:val="21"/>
              </w:rPr>
            </w:pPr>
            <w:r w:rsidRPr="00684270">
              <w:rPr>
                <w:b/>
                <w:bCs/>
                <w:sz w:val="21"/>
              </w:rPr>
              <w:t>Description</w:t>
            </w:r>
          </w:p>
        </w:tc>
      </w:tr>
      <w:tr w:rsidR="002050C6" w14:paraId="50CB3F0D" w14:textId="77777777">
        <w:trPr>
          <w:trHeight w:val="1625"/>
        </w:trPr>
        <w:tc>
          <w:tcPr>
            <w:tcW w:w="2830" w:type="dxa"/>
          </w:tcPr>
          <w:p w14:paraId="4C575019" w14:textId="77777777" w:rsidR="002050C6" w:rsidRPr="00684270" w:rsidRDefault="00170417">
            <w:pPr>
              <w:pStyle w:val="TableParagraph"/>
              <w:ind w:right="978"/>
              <w:rPr>
                <w:b/>
                <w:bCs/>
                <w:sz w:val="20"/>
              </w:rPr>
            </w:pPr>
            <w:r w:rsidRPr="00684270">
              <w:rPr>
                <w:b/>
                <w:bCs/>
                <w:sz w:val="20"/>
              </w:rPr>
              <w:t>Statutory Land Rights grants/transfers</w:t>
            </w:r>
          </w:p>
        </w:tc>
        <w:tc>
          <w:tcPr>
            <w:tcW w:w="6188" w:type="dxa"/>
          </w:tcPr>
          <w:p w14:paraId="4CA8AB65" w14:textId="77777777" w:rsidR="002050C6" w:rsidRDefault="00170417">
            <w:pPr>
              <w:pStyle w:val="TableParagraph"/>
              <w:ind w:right="117"/>
              <w:jc w:val="both"/>
              <w:rPr>
                <w:sz w:val="20"/>
              </w:rPr>
            </w:pPr>
            <w:r>
              <w:rPr>
                <w:sz w:val="20"/>
              </w:rPr>
              <w:t>Acts of ‘grace or favour’ by the State/Territory governments whereby land 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Aboriginal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person. In some jurisdictions there is an application process (NT, NSW). In other jurisdictions there a</w:t>
            </w:r>
            <w:r>
              <w:rPr>
                <w:sz w:val="20"/>
              </w:rPr>
              <w:t>re ‘one-off’ type grants or transfers (Tas,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Vic).</w:t>
            </w:r>
          </w:p>
          <w:p w14:paraId="7DC41323" w14:textId="77777777" w:rsidR="002050C6" w:rsidRDefault="00170417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WA has never had a statutory land rights scheme. In most jurisdictions</w:t>
            </w:r>
          </w:p>
          <w:p w14:paraId="661F1090" w14:textId="77777777" w:rsidR="002050C6" w:rsidRDefault="00170417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such land is ‘inalienable’ </w:t>
            </w:r>
            <w:proofErr w:type="gramStart"/>
            <w:r>
              <w:rPr>
                <w:sz w:val="20"/>
              </w:rPr>
              <w:t>i.e.</w:t>
            </w:r>
            <w:proofErr w:type="gramEnd"/>
            <w:r>
              <w:rPr>
                <w:sz w:val="20"/>
              </w:rPr>
              <w:t xml:space="preserve"> the land cannot be sold on the open market.</w:t>
            </w:r>
          </w:p>
        </w:tc>
      </w:tr>
      <w:tr w:rsidR="002050C6" w14:paraId="757645FC" w14:textId="77777777">
        <w:trPr>
          <w:trHeight w:val="1379"/>
        </w:trPr>
        <w:tc>
          <w:tcPr>
            <w:tcW w:w="2830" w:type="dxa"/>
          </w:tcPr>
          <w:p w14:paraId="203EAE4A" w14:textId="77777777" w:rsidR="002050C6" w:rsidRPr="00684270" w:rsidRDefault="00170417">
            <w:pPr>
              <w:pStyle w:val="TableParagraph"/>
              <w:rPr>
                <w:b/>
                <w:bCs/>
                <w:sz w:val="20"/>
              </w:rPr>
            </w:pPr>
            <w:r w:rsidRPr="00684270">
              <w:rPr>
                <w:b/>
                <w:bCs/>
                <w:sz w:val="20"/>
              </w:rPr>
              <w:t>Land Trust</w:t>
            </w:r>
          </w:p>
        </w:tc>
        <w:tc>
          <w:tcPr>
            <w:tcW w:w="6188" w:type="dxa"/>
          </w:tcPr>
          <w:p w14:paraId="1FB11B2F" w14:textId="77777777" w:rsidR="002050C6" w:rsidRDefault="001704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trust arrangement whereby the trust holds the</w:t>
            </w:r>
            <w:r>
              <w:rPr>
                <w:sz w:val="20"/>
              </w:rPr>
              <w:t xml:space="preserve"> land which may only </w:t>
            </w:r>
            <w:proofErr w:type="gramStart"/>
            <w:r>
              <w:rPr>
                <w:sz w:val="20"/>
              </w:rPr>
              <w:t>be</w:t>
            </w:r>
            <w:proofErr w:type="gramEnd"/>
          </w:p>
          <w:p w14:paraId="686CACCB" w14:textId="77777777" w:rsidR="002050C6" w:rsidRDefault="00170417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used ‘for the use and benefit of Aboriginal inhabitants.’ These</w:t>
            </w:r>
          </w:p>
          <w:p w14:paraId="2C2DD5F8" w14:textId="77777777" w:rsidR="002050C6" w:rsidRDefault="00170417">
            <w:pPr>
              <w:pStyle w:val="TableParagraph"/>
              <w:spacing w:before="0"/>
              <w:ind w:right="191"/>
              <w:rPr>
                <w:sz w:val="20"/>
              </w:rPr>
            </w:pPr>
            <w:r>
              <w:rPr>
                <w:sz w:val="20"/>
              </w:rPr>
              <w:t>arrangements reflect the ‘protection’ approach to Indigenous affairs that was used extensively during the latter part of the 19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Century and the early part of 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Century (WA, SA, Qld).</w:t>
            </w:r>
          </w:p>
        </w:tc>
      </w:tr>
      <w:tr w:rsidR="002050C6" w14:paraId="333A6866" w14:textId="77777777">
        <w:trPr>
          <w:trHeight w:val="1624"/>
        </w:trPr>
        <w:tc>
          <w:tcPr>
            <w:tcW w:w="2830" w:type="dxa"/>
          </w:tcPr>
          <w:p w14:paraId="5567CBE8" w14:textId="77777777" w:rsidR="002050C6" w:rsidRPr="00684270" w:rsidRDefault="00170417">
            <w:pPr>
              <w:pStyle w:val="TableParagraph"/>
              <w:rPr>
                <w:b/>
                <w:bCs/>
                <w:sz w:val="20"/>
              </w:rPr>
            </w:pPr>
            <w:r w:rsidRPr="00684270">
              <w:rPr>
                <w:b/>
                <w:bCs/>
                <w:sz w:val="20"/>
              </w:rPr>
              <w:t>Native title</w:t>
            </w:r>
          </w:p>
        </w:tc>
        <w:tc>
          <w:tcPr>
            <w:tcW w:w="6188" w:type="dxa"/>
          </w:tcPr>
          <w:p w14:paraId="0A066AC3" w14:textId="77777777" w:rsidR="002050C6" w:rsidRDefault="00170417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 xml:space="preserve">The recognition by the common law of a pre-existing right under Aboriginal or Torres Strait Islander law and custom. Native title is not granted by governments. The Federal Court of Australia </w:t>
            </w:r>
            <w:proofErr w:type="gramStart"/>
            <w:r>
              <w:rPr>
                <w:sz w:val="20"/>
              </w:rPr>
              <w:t>makes a determination</w:t>
            </w:r>
            <w:proofErr w:type="gramEnd"/>
            <w:r>
              <w:rPr>
                <w:sz w:val="20"/>
              </w:rPr>
              <w:t xml:space="preserve"> as to whether native title exits wholly or</w:t>
            </w:r>
            <w:r>
              <w:rPr>
                <w:sz w:val="20"/>
              </w:rPr>
              <w:t xml:space="preserve"> partly for an area and the final determination will identify whether it is of exclusive or non- exclusive possession.</w:t>
            </w:r>
          </w:p>
        </w:tc>
      </w:tr>
      <w:tr w:rsidR="002050C6" w14:paraId="30B6EB2A" w14:textId="77777777">
        <w:trPr>
          <w:trHeight w:val="1382"/>
        </w:trPr>
        <w:tc>
          <w:tcPr>
            <w:tcW w:w="2830" w:type="dxa"/>
          </w:tcPr>
          <w:p w14:paraId="62C3D550" w14:textId="77777777" w:rsidR="002050C6" w:rsidRPr="00684270" w:rsidRDefault="00170417">
            <w:pPr>
              <w:pStyle w:val="TableParagraph"/>
              <w:spacing w:before="83"/>
              <w:ind w:right="89"/>
              <w:rPr>
                <w:b/>
                <w:bCs/>
                <w:sz w:val="20"/>
              </w:rPr>
            </w:pPr>
            <w:r w:rsidRPr="00684270">
              <w:rPr>
                <w:b/>
                <w:bCs/>
                <w:sz w:val="20"/>
              </w:rPr>
              <w:t>Indigenous land use agreements (ILUAs)</w:t>
            </w:r>
          </w:p>
        </w:tc>
        <w:tc>
          <w:tcPr>
            <w:tcW w:w="6188" w:type="dxa"/>
          </w:tcPr>
          <w:p w14:paraId="0DDB4A1D" w14:textId="77777777" w:rsidR="002050C6" w:rsidRDefault="00170417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>
              <w:rPr>
                <w:i/>
                <w:sz w:val="20"/>
              </w:rPr>
              <w:t xml:space="preserve">Native Title Act 1993 </w:t>
            </w:r>
            <w:r>
              <w:rPr>
                <w:sz w:val="20"/>
              </w:rPr>
              <w:t>(Cth) enables native title claimants or holders to enter into formal ag</w:t>
            </w:r>
            <w:r>
              <w:rPr>
                <w:sz w:val="20"/>
              </w:rPr>
              <w:t xml:space="preserve">reements with other parties to validate activities on land where native title exists or may exist. For an ILUA to be registered under the </w:t>
            </w:r>
            <w:r>
              <w:rPr>
                <w:i/>
                <w:sz w:val="20"/>
              </w:rPr>
              <w:t xml:space="preserve">Native Title Act 1993 </w:t>
            </w:r>
            <w:r>
              <w:rPr>
                <w:sz w:val="20"/>
              </w:rPr>
              <w:t>(Cth), the ILUA must deal with native title matters. ILUAs can be made at any time.</w:t>
            </w:r>
          </w:p>
        </w:tc>
      </w:tr>
      <w:tr w:rsidR="002050C6" w14:paraId="0D72BC00" w14:textId="77777777">
        <w:trPr>
          <w:trHeight w:val="2356"/>
        </w:trPr>
        <w:tc>
          <w:tcPr>
            <w:tcW w:w="2830" w:type="dxa"/>
          </w:tcPr>
          <w:p w14:paraId="74687FAC" w14:textId="77777777" w:rsidR="002050C6" w:rsidRPr="00684270" w:rsidRDefault="00170417">
            <w:pPr>
              <w:pStyle w:val="TableParagraph"/>
              <w:rPr>
                <w:b/>
                <w:bCs/>
                <w:sz w:val="20"/>
              </w:rPr>
            </w:pPr>
            <w:r w:rsidRPr="00684270">
              <w:rPr>
                <w:b/>
                <w:bCs/>
                <w:sz w:val="20"/>
              </w:rPr>
              <w:t>Cultural heritage</w:t>
            </w:r>
          </w:p>
        </w:tc>
        <w:tc>
          <w:tcPr>
            <w:tcW w:w="6188" w:type="dxa"/>
          </w:tcPr>
          <w:p w14:paraId="67F6EC62" w14:textId="77777777" w:rsidR="002050C6" w:rsidRDefault="001704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 States/Territories and the Commonwealth have enacted legislation to provide some level of protection for objects, sites and places of cultural value or significance to Aboriginal and Torres Strait Islander peoples.</w:t>
            </w:r>
          </w:p>
          <w:p w14:paraId="06D75208" w14:textId="77777777" w:rsidR="002050C6" w:rsidRDefault="00170417">
            <w:pPr>
              <w:pStyle w:val="TableParagraph"/>
              <w:spacing w:before="0"/>
              <w:ind w:right="191"/>
              <w:rPr>
                <w:sz w:val="20"/>
              </w:rPr>
            </w:pPr>
            <w:r>
              <w:rPr>
                <w:sz w:val="20"/>
              </w:rPr>
              <w:t>There is no one def</w:t>
            </w:r>
            <w:r>
              <w:rPr>
                <w:sz w:val="20"/>
              </w:rPr>
              <w:t xml:space="preserve">inition of what comprises Aboriginal or Torres Strait Islander cultural heritage across Australia. Some definitions are very narrow, whereas other definitions are quite broad. These cultural heritage schemes </w:t>
            </w:r>
            <w:proofErr w:type="gramStart"/>
            <w:r>
              <w:rPr>
                <w:sz w:val="20"/>
              </w:rPr>
              <w:t>are seen as</w:t>
            </w:r>
            <w:proofErr w:type="gramEnd"/>
            <w:r>
              <w:rPr>
                <w:sz w:val="20"/>
              </w:rPr>
              <w:t xml:space="preserve"> another form of cultural appropriati</w:t>
            </w:r>
            <w:r>
              <w:rPr>
                <w:sz w:val="20"/>
              </w:rPr>
              <w:t>on because the schemes are based on the assumption that governments preserve heritage in the wider interests of the public.</w:t>
            </w:r>
          </w:p>
        </w:tc>
      </w:tr>
      <w:tr w:rsidR="002050C6" w14:paraId="2B31CCF2" w14:textId="77777777">
        <w:trPr>
          <w:trHeight w:val="1869"/>
        </w:trPr>
        <w:tc>
          <w:tcPr>
            <w:tcW w:w="2830" w:type="dxa"/>
          </w:tcPr>
          <w:p w14:paraId="05A2FD3B" w14:textId="77777777" w:rsidR="002050C6" w:rsidRPr="00684270" w:rsidRDefault="00170417">
            <w:pPr>
              <w:pStyle w:val="TableParagraph"/>
              <w:spacing w:before="81"/>
              <w:ind w:right="474"/>
              <w:rPr>
                <w:b/>
                <w:bCs/>
                <w:sz w:val="20"/>
              </w:rPr>
            </w:pPr>
            <w:r w:rsidRPr="00684270">
              <w:rPr>
                <w:b/>
                <w:bCs/>
                <w:sz w:val="20"/>
              </w:rPr>
              <w:t>Indigenous Protected Areas (IPAs)</w:t>
            </w:r>
          </w:p>
        </w:tc>
        <w:tc>
          <w:tcPr>
            <w:tcW w:w="6188" w:type="dxa"/>
          </w:tcPr>
          <w:p w14:paraId="58D980DF" w14:textId="77777777" w:rsidR="002050C6" w:rsidRDefault="00170417">
            <w:pPr>
              <w:pStyle w:val="TableParagraph"/>
              <w:spacing w:before="81"/>
              <w:ind w:right="134"/>
              <w:rPr>
                <w:sz w:val="20"/>
              </w:rPr>
            </w:pPr>
            <w:r>
              <w:rPr>
                <w:sz w:val="20"/>
              </w:rPr>
              <w:t>An IPA is an area of land and/or sea over which the Indigenous traditional owners or custodians have entered into a voluntary agreement with the Australia Government for the purposes of promoting biodiversity and cultural resource conservation. A managemen</w:t>
            </w:r>
            <w:r>
              <w:rPr>
                <w:sz w:val="20"/>
              </w:rPr>
              <w:t>t plan must be prepared that identifies an International Union for the Conservation of Nature (IUCN) management category to promote a balance between conservation and other sustainable land uses.</w:t>
            </w:r>
          </w:p>
        </w:tc>
      </w:tr>
    </w:tbl>
    <w:p w14:paraId="309022E7" w14:textId="77777777" w:rsidR="002050C6" w:rsidRDefault="002050C6">
      <w:pPr>
        <w:rPr>
          <w:sz w:val="20"/>
        </w:rPr>
        <w:sectPr w:rsidR="002050C6">
          <w:footerReference w:type="default" r:id="rId6"/>
          <w:type w:val="continuous"/>
          <w:pgSz w:w="11910" w:h="16840"/>
          <w:pgMar w:top="1440" w:right="1200" w:bottom="940" w:left="1420" w:header="720" w:footer="747" w:gutter="0"/>
          <w:pgNumType w:start="427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188"/>
      </w:tblGrid>
      <w:tr w:rsidR="002050C6" w:rsidRPr="00684270" w14:paraId="2E449687" w14:textId="77777777">
        <w:trPr>
          <w:trHeight w:val="496"/>
        </w:trPr>
        <w:tc>
          <w:tcPr>
            <w:tcW w:w="2830" w:type="dxa"/>
            <w:shd w:val="clear" w:color="auto" w:fill="E7FFBD"/>
          </w:tcPr>
          <w:p w14:paraId="2497BA3B" w14:textId="77777777" w:rsidR="002050C6" w:rsidRPr="00684270" w:rsidRDefault="00170417">
            <w:pPr>
              <w:pStyle w:val="TableParagraph"/>
              <w:spacing w:before="121"/>
              <w:rPr>
                <w:b/>
                <w:bCs/>
                <w:sz w:val="21"/>
              </w:rPr>
            </w:pPr>
            <w:r w:rsidRPr="00684270">
              <w:rPr>
                <w:b/>
                <w:bCs/>
                <w:sz w:val="21"/>
              </w:rPr>
              <w:lastRenderedPageBreak/>
              <w:t>Component</w:t>
            </w:r>
          </w:p>
        </w:tc>
        <w:tc>
          <w:tcPr>
            <w:tcW w:w="6188" w:type="dxa"/>
            <w:shd w:val="clear" w:color="auto" w:fill="E7FFBD"/>
          </w:tcPr>
          <w:p w14:paraId="6BD039C1" w14:textId="77777777" w:rsidR="002050C6" w:rsidRPr="00684270" w:rsidRDefault="00170417">
            <w:pPr>
              <w:pStyle w:val="TableParagraph"/>
              <w:spacing w:before="121"/>
              <w:rPr>
                <w:b/>
                <w:bCs/>
                <w:sz w:val="21"/>
              </w:rPr>
            </w:pPr>
            <w:r w:rsidRPr="00684270">
              <w:rPr>
                <w:b/>
                <w:bCs/>
                <w:sz w:val="21"/>
              </w:rPr>
              <w:t>Description</w:t>
            </w:r>
          </w:p>
        </w:tc>
      </w:tr>
      <w:tr w:rsidR="002050C6" w14:paraId="30A7F6E0" w14:textId="77777777">
        <w:trPr>
          <w:trHeight w:val="1624"/>
        </w:trPr>
        <w:tc>
          <w:tcPr>
            <w:tcW w:w="2830" w:type="dxa"/>
          </w:tcPr>
          <w:p w14:paraId="184F84CC" w14:textId="77777777" w:rsidR="002050C6" w:rsidRPr="00684270" w:rsidRDefault="00170417">
            <w:pPr>
              <w:pStyle w:val="TableParagraph"/>
              <w:ind w:right="355"/>
              <w:rPr>
                <w:b/>
                <w:bCs/>
                <w:sz w:val="20"/>
              </w:rPr>
            </w:pPr>
            <w:r w:rsidRPr="00684270">
              <w:rPr>
                <w:b/>
                <w:bCs/>
                <w:sz w:val="20"/>
              </w:rPr>
              <w:t>Jointly managed National or Marine Parks or Co-managed areas</w:t>
            </w:r>
          </w:p>
        </w:tc>
        <w:tc>
          <w:tcPr>
            <w:tcW w:w="6188" w:type="dxa"/>
          </w:tcPr>
          <w:p w14:paraId="3DA65216" w14:textId="77777777" w:rsidR="002050C6" w:rsidRDefault="00170417">
            <w:pPr>
              <w:pStyle w:val="TableParagraph"/>
              <w:ind w:right="117"/>
              <w:rPr>
                <w:sz w:val="20"/>
              </w:rPr>
            </w:pPr>
            <w:r>
              <w:rPr>
                <w:sz w:val="20"/>
              </w:rPr>
              <w:t xml:space="preserve">Since the native title era, the Commonwealth and some State/Territory governments have become more willing to </w:t>
            </w:r>
            <w:proofErr w:type="gramStart"/>
            <w:r>
              <w:rPr>
                <w:sz w:val="20"/>
              </w:rPr>
              <w:t>enter into</w:t>
            </w:r>
            <w:proofErr w:type="gramEnd"/>
            <w:r>
              <w:rPr>
                <w:sz w:val="20"/>
              </w:rPr>
              <w:t xml:space="preserve"> some kind of joint 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co-management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arrangement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Aboriginal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Islander peoples of existing government-owned land, but also over other Indigenous owned land. These arrangements vary significantly across Australia and may also include arrangements over declared marine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parks.</w:t>
            </w:r>
          </w:p>
        </w:tc>
      </w:tr>
    </w:tbl>
    <w:p w14:paraId="36B6C3E5" w14:textId="77777777" w:rsidR="002050C6" w:rsidRDefault="002050C6">
      <w:pPr>
        <w:pStyle w:val="BodyText"/>
        <w:spacing w:before="3"/>
        <w:rPr>
          <w:sz w:val="6"/>
        </w:rPr>
      </w:pPr>
    </w:p>
    <w:p w14:paraId="1C85FDD6" w14:textId="77777777" w:rsidR="002050C6" w:rsidRDefault="00170417">
      <w:pPr>
        <w:pStyle w:val="BodyText"/>
        <w:spacing w:before="64" w:line="261" w:lineRule="auto"/>
        <w:ind w:left="140" w:right="111"/>
      </w:pPr>
      <w:r>
        <w:rPr>
          <w:color w:val="585858"/>
        </w:rPr>
        <w:t>Source: Wensing, 2019, prepared for PLAN6000 UNSW©. For a more detailed analysis of the Indigenous Estate see Wensing, 2016.</w:t>
      </w:r>
    </w:p>
    <w:sectPr w:rsidR="002050C6">
      <w:pgSz w:w="11910" w:h="16840"/>
      <w:pgMar w:top="1400" w:right="1200" w:bottom="940" w:left="1420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6D99B" w14:textId="77777777" w:rsidR="00170417" w:rsidRDefault="00170417">
      <w:r>
        <w:separator/>
      </w:r>
    </w:p>
  </w:endnote>
  <w:endnote w:type="continuationSeparator" w:id="0">
    <w:p w14:paraId="49B3561D" w14:textId="77777777" w:rsidR="00170417" w:rsidRDefault="0017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F1FA6" w14:textId="77777777" w:rsidR="002050C6" w:rsidRDefault="0017041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09F0420" wp14:editId="0F6E0D1B">
          <wp:simplePos x="0" y="0"/>
          <wp:positionH relativeFrom="page">
            <wp:posOffset>3653838</wp:posOffset>
          </wp:positionH>
          <wp:positionV relativeFrom="page">
            <wp:posOffset>10327250</wp:posOffset>
          </wp:positionV>
          <wp:extent cx="523142" cy="2084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142" cy="208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BF9713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2pt;margin-top:793.6pt;width:18.25pt;height:10.05pt;z-index:-251658240;mso-position-horizontal-relative:page;mso-position-vertical-relative:page" filled="f" stroked="f">
          <v:textbox inset="0,0,0,0">
            <w:txbxContent>
              <w:p w14:paraId="7B7A2658" w14:textId="77777777" w:rsidR="002050C6" w:rsidRDefault="00170417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color w:val="7E7E7E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21F94" w14:textId="77777777" w:rsidR="00170417" w:rsidRDefault="00170417">
      <w:r>
        <w:separator/>
      </w:r>
    </w:p>
  </w:footnote>
  <w:footnote w:type="continuationSeparator" w:id="0">
    <w:p w14:paraId="01FD21C5" w14:textId="77777777" w:rsidR="00170417" w:rsidRDefault="00170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0C6"/>
    <w:rsid w:val="00170417"/>
    <w:rsid w:val="002050C6"/>
    <w:rsid w:val="0068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FDC546"/>
  <w15:docId w15:val="{D331094C-7445-4248-AE19-E3654740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40"/>
    </w:pPr>
    <w:rPr>
      <w:rFonts w:ascii="Calibri" w:eastAsia="Calibri" w:hAnsi="Calibri" w:cs="Calibri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Engagement in the National Environmental Research Program (NESP)</dc:title>
  <dc:creator>Tara Callinan</dc:creator>
  <cp:lastModifiedBy>Ed Wensing</cp:lastModifiedBy>
  <cp:revision>2</cp:revision>
  <dcterms:created xsi:type="dcterms:W3CDTF">2021-01-20T23:58:00Z</dcterms:created>
  <dcterms:modified xsi:type="dcterms:W3CDTF">2021-01-21T10:06:00Z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2021-01-20T00:00:00Z</vt:filetime>
  </property>
</Properties>
</file>