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E8B6B" w14:textId="413635A8" w:rsidR="005A7F14" w:rsidRPr="0031751E" w:rsidRDefault="0031751E" w:rsidP="0031751E">
      <w:pPr>
        <w:pStyle w:val="Title"/>
        <w:tabs>
          <w:tab w:val="left" w:pos="722"/>
        </w:tabs>
        <w:spacing w:line="641" w:lineRule="exact"/>
        <w:ind w:left="721"/>
        <w:rPr>
          <w:color w:val="7E7E7E"/>
        </w:rPr>
      </w:pPr>
      <w:r w:rsidRPr="0031751E">
        <w:rPr>
          <w:color w:val="7E7E7E"/>
        </w:rPr>
        <w:t>6. INDIGENOUS PROTECTED AREA (IPA)</w:t>
      </w:r>
    </w:p>
    <w:p w14:paraId="209736EE" w14:textId="77777777" w:rsidR="005A7F14" w:rsidRDefault="0031751E">
      <w:pPr>
        <w:pStyle w:val="Title"/>
        <w:ind w:right="1481" w:firstLine="0"/>
      </w:pPr>
      <w:r>
        <w:rPr>
          <w:color w:val="7E7E7E"/>
        </w:rPr>
        <w:t>MANAGEMENT PLANS AND INDIGENOUS RESEARCH THEMES / QUESTIONS</w:t>
      </w:r>
    </w:p>
    <w:p w14:paraId="6422FEA2" w14:textId="77777777" w:rsidR="005A7F14" w:rsidRDefault="00C535E9">
      <w:pPr>
        <w:pStyle w:val="BodyText"/>
        <w:spacing w:before="7"/>
        <w:ind w:left="0"/>
        <w:rPr>
          <w:rFonts w:ascii="Calibri"/>
          <w:sz w:val="16"/>
        </w:rPr>
      </w:pPr>
      <w:r>
        <w:pict w14:anchorId="52DEE9D9">
          <v:rect id="_x0000_s1030" style="position:absolute;margin-left:76.6pt;margin-top:12.1pt;width:463.5pt;height:.95pt;z-index:-15728640;mso-wrap-distance-left:0;mso-wrap-distance-right:0;mso-position-horizontal-relative:page" fillcolor="#92c753" stroked="f">
            <w10:wrap type="topAndBottom" anchorx="page"/>
          </v:rect>
        </w:pict>
      </w:r>
    </w:p>
    <w:p w14:paraId="2D8F7334" w14:textId="77777777" w:rsidR="005A7F14" w:rsidRDefault="005A7F14">
      <w:pPr>
        <w:pStyle w:val="BodyText"/>
        <w:ind w:left="0"/>
        <w:rPr>
          <w:rFonts w:ascii="Calibri"/>
          <w:sz w:val="20"/>
        </w:rPr>
      </w:pPr>
    </w:p>
    <w:p w14:paraId="7343705F" w14:textId="77777777" w:rsidR="005A7F14" w:rsidRDefault="005A7F14">
      <w:pPr>
        <w:pStyle w:val="BodyText"/>
        <w:spacing w:before="1"/>
        <w:ind w:left="0"/>
        <w:rPr>
          <w:rFonts w:ascii="Calibri"/>
          <w:sz w:val="23"/>
        </w:rPr>
      </w:pPr>
    </w:p>
    <w:p w14:paraId="7D3AEE95" w14:textId="77777777" w:rsidR="005A7F14" w:rsidRPr="005D0CA2" w:rsidRDefault="0031751E">
      <w:pPr>
        <w:pStyle w:val="Heading1"/>
        <w:numPr>
          <w:ilvl w:val="1"/>
          <w:numId w:val="6"/>
        </w:numPr>
        <w:tabs>
          <w:tab w:val="left" w:pos="860"/>
          <w:tab w:val="left" w:pos="861"/>
        </w:tabs>
        <w:spacing w:before="45"/>
        <w:ind w:hanging="721"/>
        <w:rPr>
          <w:b/>
          <w:bCs/>
        </w:rPr>
      </w:pPr>
      <w:r w:rsidRPr="005D0CA2">
        <w:rPr>
          <w:b/>
          <w:bCs/>
        </w:rPr>
        <w:t>Introduction and</w:t>
      </w:r>
      <w:r w:rsidRPr="005D0CA2">
        <w:rPr>
          <w:b/>
          <w:bCs/>
          <w:spacing w:val="1"/>
        </w:rPr>
        <w:t xml:space="preserve"> </w:t>
      </w:r>
      <w:r w:rsidRPr="005D0CA2">
        <w:rPr>
          <w:b/>
          <w:bCs/>
        </w:rPr>
        <w:t>Approach</w:t>
      </w:r>
    </w:p>
    <w:p w14:paraId="58DFD6EB" w14:textId="77777777" w:rsidR="005A7F14" w:rsidRDefault="0031751E">
      <w:pPr>
        <w:pStyle w:val="BodyText"/>
        <w:spacing w:before="123" w:line="259" w:lineRule="auto"/>
        <w:ind w:right="217"/>
      </w:pPr>
      <w:r>
        <w:t>This Chapter examines the IPA program and the Management Plans for most of the 76 declared IPAs around Australia and the Healthy Country Management Plans for seven other non-IPA locations. This examination was specifically included in the Brief from the Department because, in contrast to the NESP research outputs, most of the IPA Management Plans and other Healthy Country Management Plans were prepared by the Traditional Owners of the areas under conservation protection or by the Aboriginal and Torres Strait Islander organisations with management responsibilities for the areas that are the subject of the Management Plans.</w:t>
      </w:r>
    </w:p>
    <w:p w14:paraId="1E44DAE7" w14:textId="77777777" w:rsidR="005A7F14" w:rsidRDefault="0031751E">
      <w:pPr>
        <w:pStyle w:val="BodyText"/>
        <w:spacing w:before="119" w:line="259" w:lineRule="auto"/>
        <w:ind w:right="161"/>
      </w:pPr>
      <w:r>
        <w:t>The IPA and other Healthy Country management plans are a very rich source of information and knowledge about the threats, management activities and research themes and questions relating to the areas that are the subject of the plans and more generally. This kind of analysis of the IPA and other Healthy Country management plans has never been done before. As a result, the analysis reveals some interesting insights, not only about environmental and climate science research themes and questions of concern to the TOs, but also about the state of these plans and the management of the areas they are intended to protect for present and future generations for the benefit of all Australians.</w:t>
      </w:r>
    </w:p>
    <w:p w14:paraId="528E881D" w14:textId="77777777" w:rsidR="005A7F14" w:rsidRDefault="0031751E">
      <w:pPr>
        <w:pStyle w:val="BodyText"/>
        <w:spacing w:before="119" w:line="259" w:lineRule="auto"/>
        <w:ind w:right="590"/>
      </w:pPr>
      <w:r>
        <w:t>The following analysis also meshes very neatly with several of the NESP Hub research projects that have focussed on IPAs and IPA management and research needs generally.</w:t>
      </w:r>
    </w:p>
    <w:p w14:paraId="4108A337" w14:textId="77777777" w:rsidR="005A7F14" w:rsidRDefault="005A7F14">
      <w:pPr>
        <w:pStyle w:val="BodyText"/>
        <w:spacing w:before="7"/>
        <w:ind w:left="0"/>
        <w:rPr>
          <w:sz w:val="19"/>
        </w:rPr>
      </w:pPr>
    </w:p>
    <w:p w14:paraId="036A574A" w14:textId="77777777" w:rsidR="005A7F14" w:rsidRPr="005D0CA2" w:rsidRDefault="0031751E">
      <w:pPr>
        <w:pStyle w:val="Heading1"/>
        <w:numPr>
          <w:ilvl w:val="1"/>
          <w:numId w:val="6"/>
        </w:numPr>
        <w:tabs>
          <w:tab w:val="left" w:pos="860"/>
          <w:tab w:val="left" w:pos="861"/>
        </w:tabs>
        <w:ind w:hanging="721"/>
        <w:rPr>
          <w:b/>
          <w:bCs/>
        </w:rPr>
      </w:pPr>
      <w:r w:rsidRPr="005D0CA2">
        <w:rPr>
          <w:b/>
          <w:bCs/>
        </w:rPr>
        <w:t>Indigenous Protected Areas</w:t>
      </w:r>
      <w:r w:rsidRPr="005D0CA2">
        <w:rPr>
          <w:b/>
          <w:bCs/>
          <w:spacing w:val="-4"/>
        </w:rPr>
        <w:t xml:space="preserve"> </w:t>
      </w:r>
      <w:r w:rsidRPr="005D0CA2">
        <w:rPr>
          <w:b/>
          <w:bCs/>
        </w:rPr>
        <w:t>(IPAs)</w:t>
      </w:r>
    </w:p>
    <w:p w14:paraId="21A37159" w14:textId="77777777" w:rsidR="005A7F14" w:rsidRDefault="0031751E">
      <w:pPr>
        <w:pStyle w:val="BodyText"/>
        <w:spacing w:before="148" w:line="259" w:lineRule="auto"/>
        <w:ind w:right="321"/>
      </w:pPr>
      <w:r>
        <w:t>Since 1997, the Australian Government has supported Indigenous communities to voluntarily establish Indigenous Protected Areas (IPAs) on Indigenous owned or jointly managed land and sea Country. An IPA is defined by the Australian Government as:</w:t>
      </w:r>
    </w:p>
    <w:p w14:paraId="16403768" w14:textId="77777777" w:rsidR="005A7F14" w:rsidRDefault="0031751E">
      <w:pPr>
        <w:spacing w:before="119" w:line="259" w:lineRule="auto"/>
        <w:ind w:left="706" w:right="217"/>
        <w:rPr>
          <w:sz w:val="21"/>
        </w:rPr>
      </w:pPr>
      <w:r>
        <w:rPr>
          <w:i/>
          <w:sz w:val="21"/>
        </w:rPr>
        <w:t>an area of land and/or sea over which the Indigenous traditional owners or custodians have entered into a voluntary agreement with the Australia Government for the purposes of promoting biodiversity and cultural resource conservation</w:t>
      </w:r>
      <w:r>
        <w:rPr>
          <w:sz w:val="21"/>
        </w:rPr>
        <w:t>. (Department of Agriculture, Water and The Environment 2020).</w:t>
      </w:r>
    </w:p>
    <w:p w14:paraId="389A3C9D" w14:textId="77777777" w:rsidR="005A7F14" w:rsidRDefault="0031751E">
      <w:pPr>
        <w:pStyle w:val="BodyText"/>
        <w:spacing w:before="118" w:line="259" w:lineRule="auto"/>
        <w:ind w:right="158"/>
      </w:pPr>
      <w:r>
        <w:t>There are currently 76 dedicated IPAs across approximately 67 million hectares (</w:t>
      </w:r>
      <w:hyperlink w:anchor="_bookmark0" w:history="1">
        <w:r w:rsidRPr="005D0CA2">
          <w:rPr>
            <w:b/>
            <w:bCs/>
          </w:rPr>
          <w:t>Figure 6.1</w:t>
        </w:r>
      </w:hyperlink>
      <w:r>
        <w:t xml:space="preserve">). They range from extremely large remote desert areas on Indigenous-owned lands to relatively small, rainforest multi-tenured sites where the IPA co-exists with National Parks, leasehold and privately owned lands (Hill </w:t>
      </w:r>
      <w:r>
        <w:rPr>
          <w:i/>
        </w:rPr>
        <w:t>et al</w:t>
      </w:r>
      <w:r>
        <w:t>, 2013). IPAs are pivotal in conserving Australian biodiversity and ecosystem services, constituting over 44 per cent of the National Reserve System (NRS).</w:t>
      </w:r>
    </w:p>
    <w:p w14:paraId="101436D8" w14:textId="77777777" w:rsidR="005A7F14" w:rsidRDefault="005A7F14">
      <w:pPr>
        <w:spacing w:line="259" w:lineRule="auto"/>
        <w:sectPr w:rsidR="005A7F14">
          <w:footerReference w:type="default" r:id="rId7"/>
          <w:type w:val="continuous"/>
          <w:pgSz w:w="11910" w:h="16840"/>
          <w:pgMar w:top="1440" w:right="1000" w:bottom="940" w:left="1420" w:header="720" w:footer="747" w:gutter="0"/>
          <w:pgNumType w:start="105"/>
          <w:cols w:space="720"/>
        </w:sectPr>
      </w:pPr>
    </w:p>
    <w:p w14:paraId="7288ADD8" w14:textId="77777777" w:rsidR="005A7F14" w:rsidRDefault="0031751E">
      <w:pPr>
        <w:pStyle w:val="BodyText"/>
        <w:rPr>
          <w:sz w:val="20"/>
        </w:rPr>
      </w:pPr>
      <w:r>
        <w:rPr>
          <w:noProof/>
          <w:sz w:val="20"/>
        </w:rPr>
        <w:lastRenderedPageBreak/>
        <w:drawing>
          <wp:inline distT="0" distB="0" distL="0" distR="0" wp14:anchorId="4CBE198D" wp14:editId="33E70965">
            <wp:extent cx="5849947" cy="409575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849947" cy="4095750"/>
                    </a:xfrm>
                    <a:prstGeom prst="rect">
                      <a:avLst/>
                    </a:prstGeom>
                  </pic:spPr>
                </pic:pic>
              </a:graphicData>
            </a:graphic>
          </wp:inline>
        </w:drawing>
      </w:r>
    </w:p>
    <w:p w14:paraId="00822C36" w14:textId="77777777" w:rsidR="005A7F14" w:rsidRDefault="005A7F14">
      <w:pPr>
        <w:pStyle w:val="BodyText"/>
        <w:spacing w:before="11"/>
        <w:ind w:left="0"/>
        <w:rPr>
          <w:sz w:val="5"/>
        </w:rPr>
      </w:pPr>
    </w:p>
    <w:p w14:paraId="1CE6C718" w14:textId="77777777" w:rsidR="005A7F14" w:rsidRPr="00F93B3D" w:rsidRDefault="0031751E">
      <w:pPr>
        <w:pStyle w:val="BodyText"/>
        <w:spacing w:before="59"/>
        <w:rPr>
          <w:b/>
          <w:bCs/>
        </w:rPr>
      </w:pPr>
      <w:bookmarkStart w:id="0" w:name="_bookmark0"/>
      <w:bookmarkEnd w:id="0"/>
      <w:r w:rsidRPr="00F93B3D">
        <w:rPr>
          <w:b/>
          <w:bCs/>
          <w:color w:val="404040"/>
        </w:rPr>
        <w:t>Figure 6.1: Indigenous Protected Areas and Consultation Projects – February 2020</w:t>
      </w:r>
    </w:p>
    <w:p w14:paraId="5C70B564" w14:textId="77777777" w:rsidR="005A7F14" w:rsidRDefault="0031751E">
      <w:pPr>
        <w:spacing w:before="173"/>
        <w:ind w:left="140"/>
        <w:rPr>
          <w:sz w:val="16"/>
        </w:rPr>
      </w:pPr>
      <w:r>
        <w:rPr>
          <w:color w:val="525252"/>
          <w:sz w:val="16"/>
        </w:rPr>
        <w:t>Source: DAWE, 2020</w:t>
      </w:r>
    </w:p>
    <w:p w14:paraId="6AEBA237" w14:textId="77777777" w:rsidR="005A7F14" w:rsidRDefault="005A7F14">
      <w:pPr>
        <w:pStyle w:val="BodyText"/>
        <w:spacing w:before="10"/>
        <w:ind w:left="0"/>
        <w:rPr>
          <w:sz w:val="19"/>
        </w:rPr>
      </w:pPr>
    </w:p>
    <w:p w14:paraId="6CBB1B41" w14:textId="77777777" w:rsidR="005A7F14" w:rsidRPr="005D0CA2" w:rsidRDefault="0031751E">
      <w:pPr>
        <w:pStyle w:val="Heading1"/>
        <w:numPr>
          <w:ilvl w:val="1"/>
          <w:numId w:val="6"/>
        </w:numPr>
        <w:tabs>
          <w:tab w:val="left" w:pos="860"/>
          <w:tab w:val="left" w:pos="861"/>
        </w:tabs>
        <w:ind w:hanging="721"/>
        <w:rPr>
          <w:b/>
          <w:bCs/>
        </w:rPr>
      </w:pPr>
      <w:r w:rsidRPr="005D0CA2">
        <w:rPr>
          <w:b/>
          <w:bCs/>
        </w:rPr>
        <w:t>Establishing an</w:t>
      </w:r>
      <w:r w:rsidRPr="005D0CA2">
        <w:rPr>
          <w:b/>
          <w:bCs/>
          <w:spacing w:val="-3"/>
        </w:rPr>
        <w:t xml:space="preserve"> </w:t>
      </w:r>
      <w:r w:rsidRPr="005D0CA2">
        <w:rPr>
          <w:b/>
          <w:bCs/>
        </w:rPr>
        <w:t>IPA</w:t>
      </w:r>
    </w:p>
    <w:p w14:paraId="61116F71" w14:textId="77777777" w:rsidR="005A7F14" w:rsidRDefault="0031751E">
      <w:pPr>
        <w:pStyle w:val="BodyText"/>
        <w:spacing w:before="148"/>
      </w:pPr>
      <w:r>
        <w:t>There are five key steps involved in establishing and maintaining an IPA:</w:t>
      </w:r>
    </w:p>
    <w:p w14:paraId="74ED325E" w14:textId="77777777" w:rsidR="005A7F14" w:rsidRDefault="0031751E">
      <w:pPr>
        <w:pStyle w:val="ListParagraph"/>
        <w:numPr>
          <w:ilvl w:val="2"/>
          <w:numId w:val="6"/>
        </w:numPr>
        <w:tabs>
          <w:tab w:val="left" w:pos="860"/>
          <w:tab w:val="left" w:pos="861"/>
        </w:tabs>
        <w:spacing w:before="139"/>
        <w:ind w:hanging="361"/>
        <w:rPr>
          <w:sz w:val="21"/>
        </w:rPr>
      </w:pPr>
      <w:r>
        <w:rPr>
          <w:sz w:val="21"/>
        </w:rPr>
        <w:t>Community and stakeholder</w:t>
      </w:r>
      <w:r>
        <w:rPr>
          <w:spacing w:val="-3"/>
          <w:sz w:val="21"/>
        </w:rPr>
        <w:t xml:space="preserve"> </w:t>
      </w:r>
      <w:r>
        <w:rPr>
          <w:sz w:val="21"/>
        </w:rPr>
        <w:t>consultation</w:t>
      </w:r>
    </w:p>
    <w:p w14:paraId="4AB224B4" w14:textId="77777777" w:rsidR="005A7F14" w:rsidRDefault="0031751E">
      <w:pPr>
        <w:pStyle w:val="ListParagraph"/>
        <w:numPr>
          <w:ilvl w:val="2"/>
          <w:numId w:val="6"/>
        </w:numPr>
        <w:tabs>
          <w:tab w:val="left" w:pos="860"/>
          <w:tab w:val="left" w:pos="861"/>
        </w:tabs>
        <w:spacing w:before="20"/>
        <w:ind w:hanging="361"/>
        <w:rPr>
          <w:sz w:val="21"/>
        </w:rPr>
      </w:pPr>
      <w:r>
        <w:rPr>
          <w:sz w:val="21"/>
        </w:rPr>
        <w:t>Developing a Plan of</w:t>
      </w:r>
      <w:r>
        <w:rPr>
          <w:spacing w:val="-4"/>
          <w:sz w:val="21"/>
        </w:rPr>
        <w:t xml:space="preserve"> </w:t>
      </w:r>
      <w:r>
        <w:rPr>
          <w:sz w:val="21"/>
        </w:rPr>
        <w:t>Management</w:t>
      </w:r>
    </w:p>
    <w:p w14:paraId="2F36DE3D" w14:textId="77777777" w:rsidR="005A7F14" w:rsidRDefault="0031751E">
      <w:pPr>
        <w:pStyle w:val="ListParagraph"/>
        <w:numPr>
          <w:ilvl w:val="2"/>
          <w:numId w:val="6"/>
        </w:numPr>
        <w:tabs>
          <w:tab w:val="left" w:pos="860"/>
          <w:tab w:val="left" w:pos="861"/>
        </w:tabs>
        <w:spacing w:before="22"/>
        <w:ind w:hanging="361"/>
        <w:rPr>
          <w:sz w:val="21"/>
        </w:rPr>
      </w:pPr>
      <w:r>
        <w:rPr>
          <w:sz w:val="21"/>
        </w:rPr>
        <w:t>IPA Declaration</w:t>
      </w:r>
    </w:p>
    <w:p w14:paraId="66F8A39F" w14:textId="77777777" w:rsidR="005A7F14" w:rsidRDefault="0031751E">
      <w:pPr>
        <w:pStyle w:val="ListParagraph"/>
        <w:numPr>
          <w:ilvl w:val="2"/>
          <w:numId w:val="6"/>
        </w:numPr>
        <w:tabs>
          <w:tab w:val="left" w:pos="860"/>
          <w:tab w:val="left" w:pos="861"/>
        </w:tabs>
        <w:spacing w:before="20"/>
        <w:ind w:hanging="361"/>
        <w:rPr>
          <w:sz w:val="21"/>
        </w:rPr>
      </w:pPr>
      <w:r>
        <w:rPr>
          <w:sz w:val="21"/>
        </w:rPr>
        <w:t>Implementing the Plan of</w:t>
      </w:r>
      <w:r>
        <w:rPr>
          <w:spacing w:val="1"/>
          <w:sz w:val="21"/>
        </w:rPr>
        <w:t xml:space="preserve"> </w:t>
      </w:r>
      <w:r>
        <w:rPr>
          <w:sz w:val="21"/>
        </w:rPr>
        <w:t>Management</w:t>
      </w:r>
    </w:p>
    <w:p w14:paraId="6BAA0651" w14:textId="77777777" w:rsidR="005A7F14" w:rsidRDefault="0031751E">
      <w:pPr>
        <w:pStyle w:val="ListParagraph"/>
        <w:numPr>
          <w:ilvl w:val="2"/>
          <w:numId w:val="6"/>
        </w:numPr>
        <w:tabs>
          <w:tab w:val="left" w:pos="860"/>
          <w:tab w:val="left" w:pos="861"/>
        </w:tabs>
        <w:spacing w:before="19"/>
        <w:ind w:hanging="361"/>
        <w:rPr>
          <w:sz w:val="21"/>
        </w:rPr>
      </w:pPr>
      <w:r>
        <w:rPr>
          <w:sz w:val="21"/>
        </w:rPr>
        <w:t>Monitoring, evaluation, reporting and</w:t>
      </w:r>
      <w:r>
        <w:rPr>
          <w:spacing w:val="-2"/>
          <w:sz w:val="21"/>
        </w:rPr>
        <w:t xml:space="preserve"> </w:t>
      </w:r>
      <w:r>
        <w:rPr>
          <w:sz w:val="21"/>
        </w:rPr>
        <w:t>improvement.</w:t>
      </w:r>
    </w:p>
    <w:p w14:paraId="74C13F6B" w14:textId="77777777" w:rsidR="005A7F14" w:rsidRDefault="0031751E">
      <w:pPr>
        <w:pStyle w:val="BodyText"/>
        <w:spacing w:before="140"/>
      </w:pPr>
      <w:r>
        <w:t xml:space="preserve">A recent study of IPAs in Northern Australia undertaken by the NAER Hub (Farr </w:t>
      </w:r>
      <w:r>
        <w:rPr>
          <w:i/>
        </w:rPr>
        <w:t>et al</w:t>
      </w:r>
      <w:r>
        <w:t>, 2016:9) noted that:</w:t>
      </w:r>
    </w:p>
    <w:p w14:paraId="34AADE96" w14:textId="77777777" w:rsidR="005A7F14" w:rsidRDefault="0031751E">
      <w:pPr>
        <w:pStyle w:val="ListParagraph"/>
        <w:numPr>
          <w:ilvl w:val="2"/>
          <w:numId w:val="6"/>
        </w:numPr>
        <w:tabs>
          <w:tab w:val="left" w:pos="860"/>
          <w:tab w:val="left" w:pos="861"/>
        </w:tabs>
        <w:spacing w:before="142" w:line="259" w:lineRule="auto"/>
        <w:ind w:right="188"/>
        <w:rPr>
          <w:sz w:val="21"/>
        </w:rPr>
      </w:pPr>
      <w:r>
        <w:rPr>
          <w:sz w:val="21"/>
        </w:rPr>
        <w:t xml:space="preserve">An IPA arises from a voluntary agreement </w:t>
      </w:r>
      <w:proofErr w:type="gramStart"/>
      <w:r>
        <w:rPr>
          <w:sz w:val="21"/>
        </w:rPr>
        <w:t>entered into</w:t>
      </w:r>
      <w:proofErr w:type="gramEnd"/>
      <w:r>
        <w:rPr>
          <w:sz w:val="21"/>
        </w:rPr>
        <w:t xml:space="preserve"> by traditional Indigenous owners to promote biodiversity and conserve cultural resources. Traditional Owners </w:t>
      </w:r>
      <w:proofErr w:type="gramStart"/>
      <w:r>
        <w:rPr>
          <w:sz w:val="21"/>
        </w:rPr>
        <w:t>enter into</w:t>
      </w:r>
      <w:proofErr w:type="gramEnd"/>
      <w:r>
        <w:rPr>
          <w:sz w:val="21"/>
        </w:rPr>
        <w:t xml:space="preserve"> a legally binding IPA commitment via an Indigenous organisation and committing land title in perpetuity to the NRS purposes.</w:t>
      </w:r>
    </w:p>
    <w:p w14:paraId="1A29FDEE" w14:textId="77777777" w:rsidR="005A7F14" w:rsidRDefault="0031751E">
      <w:pPr>
        <w:pStyle w:val="ListParagraph"/>
        <w:numPr>
          <w:ilvl w:val="2"/>
          <w:numId w:val="6"/>
        </w:numPr>
        <w:tabs>
          <w:tab w:val="left" w:pos="860"/>
          <w:tab w:val="left" w:pos="861"/>
        </w:tabs>
        <w:spacing w:line="259" w:lineRule="auto"/>
        <w:ind w:right="296"/>
        <w:rPr>
          <w:sz w:val="21"/>
        </w:rPr>
      </w:pPr>
      <w:r>
        <w:rPr>
          <w:sz w:val="21"/>
        </w:rPr>
        <w:t xml:space="preserve">IPAs are only declared after a period of consultation which typically takes between 3 and 5 years, and which is intended to facilitate the development of management and governance systems to ensure effective long-term operation of the areas. During the consultation period, Indigenous communities are supported by the Australian Government to consult with their communities and other stakeholders about whether an IPA is suitable for them. A Plan of Management is developed which sets out how Country, its cultural values and threats to these values will be managed (Hill </w:t>
      </w:r>
      <w:r>
        <w:rPr>
          <w:i/>
          <w:sz w:val="21"/>
        </w:rPr>
        <w:t>et al</w:t>
      </w:r>
      <w:r>
        <w:rPr>
          <w:sz w:val="21"/>
        </w:rPr>
        <w:t>,</w:t>
      </w:r>
      <w:r>
        <w:rPr>
          <w:spacing w:val="-2"/>
          <w:sz w:val="21"/>
        </w:rPr>
        <w:t xml:space="preserve"> </w:t>
      </w:r>
      <w:r>
        <w:rPr>
          <w:sz w:val="21"/>
        </w:rPr>
        <w:t>2011:4-5).</w:t>
      </w:r>
    </w:p>
    <w:p w14:paraId="57FF5A58" w14:textId="77777777" w:rsidR="005A7F14" w:rsidRDefault="0031751E">
      <w:pPr>
        <w:pStyle w:val="ListParagraph"/>
        <w:numPr>
          <w:ilvl w:val="2"/>
          <w:numId w:val="6"/>
        </w:numPr>
        <w:tabs>
          <w:tab w:val="left" w:pos="860"/>
          <w:tab w:val="left" w:pos="861"/>
        </w:tabs>
        <w:spacing w:line="259" w:lineRule="auto"/>
        <w:ind w:right="247"/>
        <w:rPr>
          <w:sz w:val="21"/>
        </w:rPr>
      </w:pPr>
      <w:r>
        <w:rPr>
          <w:sz w:val="21"/>
        </w:rPr>
        <w:t xml:space="preserve">IPA agreement is done in line with international standards, namely the International Union </w:t>
      </w:r>
      <w:r>
        <w:rPr>
          <w:spacing w:val="-2"/>
          <w:sz w:val="21"/>
        </w:rPr>
        <w:t xml:space="preserve">for </w:t>
      </w:r>
      <w:r>
        <w:rPr>
          <w:sz w:val="21"/>
        </w:rPr>
        <w:t>Conservation</w:t>
      </w:r>
      <w:r>
        <w:rPr>
          <w:spacing w:val="-4"/>
          <w:sz w:val="21"/>
        </w:rPr>
        <w:t xml:space="preserve"> </w:t>
      </w:r>
      <w:r>
        <w:rPr>
          <w:sz w:val="21"/>
        </w:rPr>
        <w:t>of</w:t>
      </w:r>
      <w:r>
        <w:rPr>
          <w:spacing w:val="-2"/>
          <w:sz w:val="21"/>
        </w:rPr>
        <w:t xml:space="preserve"> </w:t>
      </w:r>
      <w:r>
        <w:rPr>
          <w:sz w:val="21"/>
        </w:rPr>
        <w:t>Nature (IUCN).</w:t>
      </w:r>
      <w:r>
        <w:rPr>
          <w:spacing w:val="-3"/>
          <w:sz w:val="21"/>
        </w:rPr>
        <w:t xml:space="preserve"> </w:t>
      </w:r>
      <w:r>
        <w:rPr>
          <w:sz w:val="21"/>
        </w:rPr>
        <w:t>About</w:t>
      </w:r>
      <w:r>
        <w:rPr>
          <w:spacing w:val="-4"/>
          <w:sz w:val="21"/>
        </w:rPr>
        <w:t xml:space="preserve"> </w:t>
      </w:r>
      <w:r>
        <w:rPr>
          <w:sz w:val="21"/>
        </w:rPr>
        <w:t>1/3</w:t>
      </w:r>
      <w:r>
        <w:rPr>
          <w:spacing w:val="-3"/>
          <w:sz w:val="21"/>
        </w:rPr>
        <w:t xml:space="preserve"> </w:t>
      </w:r>
      <w:r>
        <w:rPr>
          <w:sz w:val="21"/>
        </w:rPr>
        <w:t>of</w:t>
      </w:r>
      <w:r>
        <w:rPr>
          <w:spacing w:val="-2"/>
          <w:sz w:val="21"/>
        </w:rPr>
        <w:t xml:space="preserve"> </w:t>
      </w:r>
      <w:r>
        <w:rPr>
          <w:sz w:val="21"/>
        </w:rPr>
        <w:t>IPAs</w:t>
      </w:r>
      <w:r>
        <w:rPr>
          <w:spacing w:val="-1"/>
          <w:sz w:val="21"/>
        </w:rPr>
        <w:t xml:space="preserve"> </w:t>
      </w:r>
      <w:r>
        <w:rPr>
          <w:sz w:val="21"/>
        </w:rPr>
        <w:t>are</w:t>
      </w:r>
      <w:r>
        <w:rPr>
          <w:spacing w:val="-3"/>
          <w:sz w:val="21"/>
        </w:rPr>
        <w:t xml:space="preserve"> </w:t>
      </w:r>
      <w:r>
        <w:rPr>
          <w:sz w:val="21"/>
        </w:rPr>
        <w:t>nominated</w:t>
      </w:r>
      <w:r>
        <w:rPr>
          <w:spacing w:val="-4"/>
          <w:sz w:val="21"/>
        </w:rPr>
        <w:t xml:space="preserve"> </w:t>
      </w:r>
      <w:r>
        <w:rPr>
          <w:sz w:val="21"/>
        </w:rPr>
        <w:t>under</w:t>
      </w:r>
      <w:r>
        <w:rPr>
          <w:spacing w:val="-4"/>
          <w:sz w:val="21"/>
        </w:rPr>
        <w:t xml:space="preserve"> </w:t>
      </w:r>
      <w:r>
        <w:rPr>
          <w:sz w:val="21"/>
        </w:rPr>
        <w:t>IUCN</w:t>
      </w:r>
      <w:r>
        <w:rPr>
          <w:spacing w:val="-5"/>
          <w:sz w:val="21"/>
        </w:rPr>
        <w:t xml:space="preserve"> </w:t>
      </w:r>
      <w:r>
        <w:rPr>
          <w:sz w:val="21"/>
        </w:rPr>
        <w:t>Category</w:t>
      </w:r>
      <w:r>
        <w:rPr>
          <w:spacing w:val="-1"/>
          <w:sz w:val="21"/>
        </w:rPr>
        <w:t xml:space="preserve"> </w:t>
      </w:r>
      <w:r>
        <w:rPr>
          <w:sz w:val="21"/>
        </w:rPr>
        <w:t>V</w:t>
      </w:r>
      <w:r>
        <w:rPr>
          <w:spacing w:val="-2"/>
          <w:sz w:val="21"/>
        </w:rPr>
        <w:t xml:space="preserve"> </w:t>
      </w:r>
      <w:r>
        <w:rPr>
          <w:sz w:val="21"/>
        </w:rPr>
        <w:t>(Protected</w:t>
      </w:r>
    </w:p>
    <w:p w14:paraId="7A39B55C" w14:textId="77777777" w:rsidR="005A7F14" w:rsidRDefault="005A7F14">
      <w:pPr>
        <w:spacing w:line="259" w:lineRule="auto"/>
        <w:rPr>
          <w:sz w:val="21"/>
        </w:rPr>
        <w:sectPr w:rsidR="005A7F14">
          <w:pgSz w:w="11910" w:h="16840"/>
          <w:pgMar w:top="1400" w:right="1000" w:bottom="940" w:left="1420" w:header="0" w:footer="747" w:gutter="0"/>
          <w:cols w:space="720"/>
        </w:sectPr>
      </w:pPr>
    </w:p>
    <w:p w14:paraId="12EF90FF" w14:textId="77777777" w:rsidR="005A7F14" w:rsidRDefault="0031751E">
      <w:pPr>
        <w:pStyle w:val="BodyText"/>
        <w:spacing w:before="41" w:line="259" w:lineRule="auto"/>
        <w:ind w:left="860" w:right="426"/>
      </w:pPr>
      <w:r>
        <w:lastRenderedPageBreak/>
        <w:t>Landscape/ Seascape); with 2/3 in IUCN Category VI (Managed Resource Protected Area); several IPAs have more than one IUCN nomination (IUCN, 2013).</w:t>
      </w:r>
    </w:p>
    <w:p w14:paraId="0B9A42CF" w14:textId="77777777" w:rsidR="005A7F14" w:rsidRDefault="0031751E">
      <w:pPr>
        <w:pStyle w:val="ListParagraph"/>
        <w:numPr>
          <w:ilvl w:val="2"/>
          <w:numId w:val="6"/>
        </w:numPr>
        <w:tabs>
          <w:tab w:val="left" w:pos="860"/>
          <w:tab w:val="left" w:pos="861"/>
        </w:tabs>
        <w:spacing w:line="255" w:lineRule="exact"/>
        <w:ind w:hanging="361"/>
        <w:rPr>
          <w:sz w:val="21"/>
        </w:rPr>
      </w:pPr>
      <w:r>
        <w:rPr>
          <w:sz w:val="21"/>
        </w:rPr>
        <w:t>IPAs play a major role in Australia’s capacity to meet its conservation targets under national</w:t>
      </w:r>
      <w:r>
        <w:rPr>
          <w:spacing w:val="-23"/>
          <w:sz w:val="21"/>
        </w:rPr>
        <w:t xml:space="preserve"> </w:t>
      </w:r>
      <w:r>
        <w:rPr>
          <w:sz w:val="21"/>
        </w:rPr>
        <w:t>and</w:t>
      </w:r>
    </w:p>
    <w:p w14:paraId="3801AD35" w14:textId="77777777" w:rsidR="005A7F14" w:rsidRDefault="0031751E">
      <w:pPr>
        <w:pStyle w:val="BodyText"/>
        <w:spacing w:before="22"/>
        <w:ind w:left="860"/>
      </w:pPr>
      <w:r>
        <w:t>international obligations.</w:t>
      </w:r>
    </w:p>
    <w:p w14:paraId="335E91F6" w14:textId="77777777" w:rsidR="005A7F14" w:rsidRDefault="0031751E">
      <w:pPr>
        <w:pStyle w:val="ListParagraph"/>
        <w:numPr>
          <w:ilvl w:val="2"/>
          <w:numId w:val="6"/>
        </w:numPr>
        <w:tabs>
          <w:tab w:val="left" w:pos="860"/>
          <w:tab w:val="left" w:pos="861"/>
        </w:tabs>
        <w:spacing w:before="20" w:line="259" w:lineRule="auto"/>
        <w:ind w:right="218"/>
        <w:rPr>
          <w:sz w:val="21"/>
        </w:rPr>
      </w:pPr>
      <w:r>
        <w:rPr>
          <w:sz w:val="21"/>
        </w:rPr>
        <w:t>IPAs comprise a significant and growing part of the National Reserve System (NRS) – growth in IPAs accounts for nearly 70% of the total area of land that has been added to the NRS since its inception. IPAs range widely both in size and in ecosystem types</w:t>
      </w:r>
      <w:r>
        <w:rPr>
          <w:spacing w:val="-8"/>
          <w:sz w:val="21"/>
        </w:rPr>
        <w:t xml:space="preserve"> </w:t>
      </w:r>
      <w:r>
        <w:rPr>
          <w:sz w:val="21"/>
        </w:rPr>
        <w:t>protected.</w:t>
      </w:r>
    </w:p>
    <w:p w14:paraId="4E125DB0" w14:textId="77777777" w:rsidR="005A7F14" w:rsidRDefault="0031751E">
      <w:pPr>
        <w:pStyle w:val="ListParagraph"/>
        <w:numPr>
          <w:ilvl w:val="2"/>
          <w:numId w:val="6"/>
        </w:numPr>
        <w:tabs>
          <w:tab w:val="left" w:pos="860"/>
          <w:tab w:val="left" w:pos="861"/>
        </w:tabs>
        <w:spacing w:line="259" w:lineRule="auto"/>
        <w:ind w:right="134"/>
        <w:rPr>
          <w:sz w:val="21"/>
        </w:rPr>
      </w:pPr>
      <w:r>
        <w:rPr>
          <w:sz w:val="21"/>
        </w:rPr>
        <w:t>An IPA management plan describes how Indigenous groups ‘care for Country’ using a combination of traditional Indigenous knowledge and contemporary western science. These plans may also identify research priorities (discussed</w:t>
      </w:r>
      <w:r>
        <w:rPr>
          <w:spacing w:val="-5"/>
          <w:sz w:val="21"/>
        </w:rPr>
        <w:t xml:space="preserve"> </w:t>
      </w:r>
      <w:r>
        <w:rPr>
          <w:sz w:val="21"/>
        </w:rPr>
        <w:t>below).</w:t>
      </w:r>
    </w:p>
    <w:p w14:paraId="31A1022E" w14:textId="77777777" w:rsidR="005A7F14" w:rsidRDefault="0031751E">
      <w:pPr>
        <w:pStyle w:val="ListParagraph"/>
        <w:numPr>
          <w:ilvl w:val="2"/>
          <w:numId w:val="6"/>
        </w:numPr>
        <w:tabs>
          <w:tab w:val="left" w:pos="860"/>
          <w:tab w:val="left" w:pos="861"/>
        </w:tabs>
        <w:spacing w:line="259" w:lineRule="auto"/>
        <w:ind w:right="149"/>
        <w:rPr>
          <w:sz w:val="21"/>
        </w:rPr>
      </w:pPr>
      <w:r>
        <w:rPr>
          <w:sz w:val="21"/>
        </w:rPr>
        <w:t>Rangers are an important part of the IPA system. As IPA managers, they undertake the day to day running of these areas, safeguarding against weed and feral animal expansion, revegetating areas of deforestation, conducting interpretive tours for visitors, managing and maintaining visitor amenities, engaging in cultural history and language projects, including the protection of rock arts, and participating in research projects aimed at conserving fauna (e.g., crocodiles and threatened turtle population) and</w:t>
      </w:r>
      <w:r>
        <w:rPr>
          <w:spacing w:val="-1"/>
          <w:sz w:val="21"/>
        </w:rPr>
        <w:t xml:space="preserve"> </w:t>
      </w:r>
      <w:r>
        <w:rPr>
          <w:sz w:val="21"/>
        </w:rPr>
        <w:t>flora.</w:t>
      </w:r>
    </w:p>
    <w:p w14:paraId="08DD5F01" w14:textId="77777777" w:rsidR="005A7F14" w:rsidRDefault="0031751E">
      <w:pPr>
        <w:pStyle w:val="ListParagraph"/>
        <w:numPr>
          <w:ilvl w:val="2"/>
          <w:numId w:val="6"/>
        </w:numPr>
        <w:tabs>
          <w:tab w:val="left" w:pos="860"/>
          <w:tab w:val="left" w:pos="861"/>
        </w:tabs>
        <w:spacing w:line="259" w:lineRule="auto"/>
        <w:ind w:right="151"/>
        <w:rPr>
          <w:sz w:val="21"/>
        </w:rPr>
      </w:pPr>
      <w:r>
        <w:rPr>
          <w:sz w:val="21"/>
        </w:rPr>
        <w:t>Northern Australia is home to 30% of the total Indigenous population of Australia and contains more than 50% of the Australia’s declared</w:t>
      </w:r>
      <w:r>
        <w:rPr>
          <w:spacing w:val="-9"/>
          <w:sz w:val="21"/>
        </w:rPr>
        <w:t xml:space="preserve"> </w:t>
      </w:r>
      <w:r>
        <w:rPr>
          <w:sz w:val="21"/>
        </w:rPr>
        <w:t>IPAs.</w:t>
      </w:r>
    </w:p>
    <w:p w14:paraId="2F9256FF" w14:textId="77777777" w:rsidR="005A7F14" w:rsidRDefault="005A7F14">
      <w:pPr>
        <w:pStyle w:val="BodyText"/>
        <w:spacing w:before="7"/>
        <w:ind w:left="0"/>
        <w:rPr>
          <w:sz w:val="19"/>
        </w:rPr>
      </w:pPr>
    </w:p>
    <w:p w14:paraId="1C203FDE" w14:textId="77777777" w:rsidR="005A7F14" w:rsidRPr="005D0CA2" w:rsidRDefault="0031751E">
      <w:pPr>
        <w:pStyle w:val="Heading1"/>
        <w:numPr>
          <w:ilvl w:val="1"/>
          <w:numId w:val="6"/>
        </w:numPr>
        <w:tabs>
          <w:tab w:val="left" w:pos="860"/>
          <w:tab w:val="left" w:pos="861"/>
        </w:tabs>
        <w:ind w:hanging="721"/>
        <w:rPr>
          <w:b/>
          <w:bCs/>
        </w:rPr>
      </w:pPr>
      <w:r w:rsidRPr="005D0CA2">
        <w:rPr>
          <w:b/>
          <w:bCs/>
        </w:rPr>
        <w:t>Benefits of</w:t>
      </w:r>
      <w:r w:rsidRPr="005D0CA2">
        <w:rPr>
          <w:b/>
          <w:bCs/>
          <w:spacing w:val="-2"/>
        </w:rPr>
        <w:t xml:space="preserve"> </w:t>
      </w:r>
      <w:proofErr w:type="gramStart"/>
      <w:r w:rsidRPr="005D0CA2">
        <w:rPr>
          <w:b/>
          <w:bCs/>
        </w:rPr>
        <w:t>IPAs</w:t>
      </w:r>
      <w:proofErr w:type="gramEnd"/>
    </w:p>
    <w:p w14:paraId="1C3EE937" w14:textId="77777777" w:rsidR="005A7F14" w:rsidRDefault="0031751E">
      <w:pPr>
        <w:pStyle w:val="BodyText"/>
        <w:spacing w:before="145" w:line="259" w:lineRule="auto"/>
        <w:ind w:right="151"/>
      </w:pPr>
      <w:r>
        <w:t xml:space="preserve">A recent study of IPAs in Northern Australia undertaken by the NAER Hub found that there are many different ways of measuring benefit (Farr </w:t>
      </w:r>
      <w:r>
        <w:rPr>
          <w:i/>
        </w:rPr>
        <w:t>et al</w:t>
      </w:r>
      <w:r>
        <w:t xml:space="preserve">, 2016:30), that no single method of assessing benefits is suitable in all situations because different benefits require different assessment techniques (Farr et al, </w:t>
      </w:r>
      <w:proofErr w:type="gramStart"/>
      <w:r>
        <w:t>2016:I</w:t>
      </w:r>
      <w:proofErr w:type="gramEnd"/>
      <w:r>
        <w:t xml:space="preserve"> and 41). The researchers concluded that it is important to establish who needs the information and why, before deciding which techniques may be best suited to the task of establishing the benefits (Farr </w:t>
      </w:r>
      <w:r>
        <w:rPr>
          <w:i/>
        </w:rPr>
        <w:t>et al</w:t>
      </w:r>
      <w:r>
        <w:t xml:space="preserve">, </w:t>
      </w:r>
      <w:proofErr w:type="gramStart"/>
      <w:r>
        <w:t>2016:i</w:t>
      </w:r>
      <w:proofErr w:type="gramEnd"/>
      <w:r>
        <w:t>).</w:t>
      </w:r>
    </w:p>
    <w:p w14:paraId="348593FC" w14:textId="77777777" w:rsidR="005A7F14" w:rsidRDefault="0031751E">
      <w:pPr>
        <w:pStyle w:val="BodyText"/>
        <w:spacing w:before="119"/>
      </w:pPr>
      <w:r>
        <w:t>The NAER Hub study referred to above, concluded that:</w:t>
      </w:r>
    </w:p>
    <w:p w14:paraId="038AFC73" w14:textId="77777777" w:rsidR="005A7F14" w:rsidRDefault="0031751E">
      <w:pPr>
        <w:spacing w:before="140" w:line="259" w:lineRule="auto"/>
        <w:ind w:left="706" w:right="217"/>
        <w:rPr>
          <w:i/>
          <w:sz w:val="21"/>
        </w:rPr>
      </w:pPr>
      <w:r>
        <w:rPr>
          <w:i/>
          <w:sz w:val="21"/>
        </w:rPr>
        <w:t xml:space="preserve">IPAs have unique features compared to other types of reserves including governance arrangements founded in Indigenous customary law, strong emphasis on traditional knowledge systems for management practice, and a priority to deliver multiple economic and cultural benefits alongside nature conservation. </w:t>
      </w:r>
    </w:p>
    <w:p w14:paraId="06036959" w14:textId="77777777" w:rsidR="005A7F14" w:rsidRDefault="0031751E">
      <w:pPr>
        <w:spacing w:before="119" w:line="259" w:lineRule="auto"/>
        <w:ind w:left="706" w:right="380"/>
        <w:rPr>
          <w:sz w:val="21"/>
        </w:rPr>
      </w:pPr>
      <w:r>
        <w:rPr>
          <w:i/>
          <w:sz w:val="21"/>
        </w:rPr>
        <w:t xml:space="preserve">They also differ greatly from one another, ranging from large relatively remote areas on Indigenous- owned lands to small, multi-tenured sites where the IPA co-exists with national park, </w:t>
      </w:r>
      <w:proofErr w:type="gramStart"/>
      <w:r>
        <w:rPr>
          <w:i/>
          <w:sz w:val="21"/>
        </w:rPr>
        <w:t>lease-hold</w:t>
      </w:r>
      <w:proofErr w:type="gramEnd"/>
      <w:r>
        <w:rPr>
          <w:i/>
          <w:sz w:val="21"/>
        </w:rPr>
        <w:t xml:space="preserve"> or privately owned lands. Understanding these features is critical to facilitate the improvement and refinement of IPA management and to provide information useful to collaborative stakeholders including Traditional Owners, community, and government. </w:t>
      </w:r>
      <w:r>
        <w:rPr>
          <w:sz w:val="21"/>
        </w:rPr>
        <w:t>(NAER Hub, 2016)</w:t>
      </w:r>
    </w:p>
    <w:p w14:paraId="4BED3D32" w14:textId="77777777" w:rsidR="005A7F14" w:rsidRDefault="0031751E">
      <w:pPr>
        <w:pStyle w:val="BodyText"/>
        <w:spacing w:before="121" w:line="259" w:lineRule="auto"/>
        <w:ind w:right="437"/>
      </w:pPr>
      <w:r>
        <w:t>In 2016, the Australian Government commissioned SVA Consulting to conduct four SROI (Social Return on Investment) analyses to understand, measure or estimate, and value the changes resulting from the investment in five IPAs across Australia, specifically:</w:t>
      </w:r>
    </w:p>
    <w:p w14:paraId="6751740A" w14:textId="77777777" w:rsidR="005A7F14" w:rsidRDefault="0031751E">
      <w:pPr>
        <w:pStyle w:val="ListParagraph"/>
        <w:numPr>
          <w:ilvl w:val="2"/>
          <w:numId w:val="6"/>
        </w:numPr>
        <w:tabs>
          <w:tab w:val="left" w:pos="860"/>
          <w:tab w:val="left" w:pos="861"/>
        </w:tabs>
        <w:spacing w:before="117"/>
        <w:ind w:hanging="361"/>
        <w:rPr>
          <w:sz w:val="21"/>
        </w:rPr>
      </w:pPr>
      <w:proofErr w:type="spellStart"/>
      <w:r>
        <w:rPr>
          <w:sz w:val="21"/>
        </w:rPr>
        <w:t>Warddeken</w:t>
      </w:r>
      <w:proofErr w:type="spellEnd"/>
      <w:r>
        <w:rPr>
          <w:sz w:val="21"/>
        </w:rPr>
        <w:t xml:space="preserve"> in</w:t>
      </w:r>
      <w:r>
        <w:rPr>
          <w:spacing w:val="1"/>
          <w:sz w:val="21"/>
        </w:rPr>
        <w:t xml:space="preserve"> </w:t>
      </w:r>
      <w:proofErr w:type="gramStart"/>
      <w:r>
        <w:rPr>
          <w:sz w:val="21"/>
        </w:rPr>
        <w:t>NT;</w:t>
      </w:r>
      <w:proofErr w:type="gramEnd"/>
    </w:p>
    <w:p w14:paraId="3ADD8B69" w14:textId="77777777" w:rsidR="005A7F14" w:rsidRDefault="0031751E">
      <w:pPr>
        <w:pStyle w:val="ListParagraph"/>
        <w:numPr>
          <w:ilvl w:val="2"/>
          <w:numId w:val="6"/>
        </w:numPr>
        <w:tabs>
          <w:tab w:val="left" w:pos="860"/>
          <w:tab w:val="left" w:pos="861"/>
        </w:tabs>
        <w:spacing w:before="23"/>
        <w:ind w:hanging="361"/>
        <w:rPr>
          <w:sz w:val="21"/>
        </w:rPr>
      </w:pPr>
      <w:r>
        <w:rPr>
          <w:sz w:val="21"/>
        </w:rPr>
        <w:t>Girringun in</w:t>
      </w:r>
      <w:r>
        <w:rPr>
          <w:spacing w:val="-1"/>
          <w:sz w:val="21"/>
        </w:rPr>
        <w:t xml:space="preserve"> </w:t>
      </w:r>
      <w:proofErr w:type="gramStart"/>
      <w:r>
        <w:rPr>
          <w:sz w:val="21"/>
        </w:rPr>
        <w:t>Qld;</w:t>
      </w:r>
      <w:proofErr w:type="gramEnd"/>
    </w:p>
    <w:p w14:paraId="603A0493" w14:textId="77777777" w:rsidR="005A7F14" w:rsidRDefault="0031751E">
      <w:pPr>
        <w:pStyle w:val="ListParagraph"/>
        <w:numPr>
          <w:ilvl w:val="2"/>
          <w:numId w:val="6"/>
        </w:numPr>
        <w:tabs>
          <w:tab w:val="left" w:pos="860"/>
          <w:tab w:val="left" w:pos="861"/>
        </w:tabs>
        <w:spacing w:before="20"/>
        <w:ind w:hanging="361"/>
        <w:rPr>
          <w:sz w:val="21"/>
        </w:rPr>
      </w:pPr>
      <w:proofErr w:type="spellStart"/>
      <w:r>
        <w:rPr>
          <w:sz w:val="21"/>
        </w:rPr>
        <w:t>Birriliburu</w:t>
      </w:r>
      <w:proofErr w:type="spellEnd"/>
      <w:r>
        <w:rPr>
          <w:sz w:val="21"/>
        </w:rPr>
        <w:t xml:space="preserve"> and MKK in WA (together forming one analysis);</w:t>
      </w:r>
      <w:r>
        <w:rPr>
          <w:spacing w:val="-4"/>
          <w:sz w:val="21"/>
        </w:rPr>
        <w:t xml:space="preserve"> </w:t>
      </w:r>
      <w:r>
        <w:rPr>
          <w:sz w:val="21"/>
        </w:rPr>
        <w:t>and</w:t>
      </w:r>
    </w:p>
    <w:p w14:paraId="2CCE558B" w14:textId="77777777" w:rsidR="005A7F14" w:rsidRDefault="0031751E">
      <w:pPr>
        <w:pStyle w:val="ListParagraph"/>
        <w:numPr>
          <w:ilvl w:val="2"/>
          <w:numId w:val="6"/>
        </w:numPr>
        <w:tabs>
          <w:tab w:val="left" w:pos="860"/>
          <w:tab w:val="left" w:pos="861"/>
        </w:tabs>
        <w:spacing w:before="19"/>
        <w:ind w:hanging="361"/>
        <w:rPr>
          <w:sz w:val="21"/>
        </w:rPr>
      </w:pPr>
      <w:proofErr w:type="spellStart"/>
      <w:r>
        <w:rPr>
          <w:sz w:val="21"/>
        </w:rPr>
        <w:t>Minyumai</w:t>
      </w:r>
      <w:proofErr w:type="spellEnd"/>
      <w:r>
        <w:rPr>
          <w:sz w:val="21"/>
        </w:rPr>
        <w:t xml:space="preserve"> in</w:t>
      </w:r>
      <w:r>
        <w:rPr>
          <w:spacing w:val="-1"/>
          <w:sz w:val="21"/>
        </w:rPr>
        <w:t xml:space="preserve"> </w:t>
      </w:r>
      <w:r>
        <w:rPr>
          <w:sz w:val="21"/>
        </w:rPr>
        <w:t>NSW.</w:t>
      </w:r>
    </w:p>
    <w:p w14:paraId="02B47CAF" w14:textId="77777777" w:rsidR="005A7F14" w:rsidRDefault="0031751E">
      <w:pPr>
        <w:pStyle w:val="BodyText"/>
        <w:spacing w:before="140"/>
      </w:pPr>
      <w:r>
        <w:t>The objectives in conducting these analyses were:</w:t>
      </w:r>
    </w:p>
    <w:p w14:paraId="611FE81D" w14:textId="77777777" w:rsidR="005A7F14" w:rsidRDefault="0031751E">
      <w:pPr>
        <w:pStyle w:val="ListParagraph"/>
        <w:numPr>
          <w:ilvl w:val="2"/>
          <w:numId w:val="6"/>
        </w:numPr>
        <w:tabs>
          <w:tab w:val="left" w:pos="860"/>
          <w:tab w:val="left" w:pos="861"/>
        </w:tabs>
        <w:spacing w:before="142"/>
        <w:ind w:hanging="361"/>
        <w:rPr>
          <w:sz w:val="21"/>
        </w:rPr>
      </w:pPr>
      <w:r>
        <w:rPr>
          <w:sz w:val="21"/>
        </w:rPr>
        <w:t>To test and validate PM&amp;C’s understanding of the broad environmental, cultural, social</w:t>
      </w:r>
      <w:r>
        <w:rPr>
          <w:spacing w:val="-17"/>
          <w:sz w:val="21"/>
        </w:rPr>
        <w:t xml:space="preserve"> </w:t>
      </w:r>
      <w:r>
        <w:rPr>
          <w:sz w:val="21"/>
        </w:rPr>
        <w:t>and</w:t>
      </w:r>
    </w:p>
    <w:p w14:paraId="201896A0" w14:textId="77777777" w:rsidR="005A7F14" w:rsidRDefault="0031751E">
      <w:pPr>
        <w:pStyle w:val="BodyText"/>
        <w:spacing w:before="20"/>
        <w:ind w:left="860"/>
      </w:pPr>
      <w:r>
        <w:t>economic outcomes generated by IPAs; and</w:t>
      </w:r>
    </w:p>
    <w:p w14:paraId="6A574CCB" w14:textId="77777777" w:rsidR="005A7F14" w:rsidRDefault="005A7F14">
      <w:pPr>
        <w:sectPr w:rsidR="005A7F14">
          <w:pgSz w:w="11910" w:h="16840"/>
          <w:pgMar w:top="1360" w:right="1000" w:bottom="940" w:left="1420" w:header="0" w:footer="747" w:gutter="0"/>
          <w:cols w:space="720"/>
        </w:sectPr>
      </w:pPr>
    </w:p>
    <w:p w14:paraId="3229EB54" w14:textId="77777777" w:rsidR="005A7F14" w:rsidRDefault="0031751E">
      <w:pPr>
        <w:pStyle w:val="ListParagraph"/>
        <w:numPr>
          <w:ilvl w:val="2"/>
          <w:numId w:val="6"/>
        </w:numPr>
        <w:tabs>
          <w:tab w:val="left" w:pos="860"/>
          <w:tab w:val="left" w:pos="861"/>
        </w:tabs>
        <w:spacing w:before="41" w:line="259" w:lineRule="auto"/>
        <w:ind w:right="460"/>
        <w:rPr>
          <w:sz w:val="21"/>
        </w:rPr>
      </w:pPr>
      <w:r>
        <w:rPr>
          <w:sz w:val="21"/>
        </w:rPr>
        <w:lastRenderedPageBreak/>
        <w:t xml:space="preserve">To supplement the existing body of information by assigning a financial value to those outcomes, helping PM&amp;C to better understand the relative benefits of the IPA program for Indigenous communities, </w:t>
      </w:r>
      <w:proofErr w:type="gramStart"/>
      <w:r>
        <w:rPr>
          <w:sz w:val="21"/>
        </w:rPr>
        <w:t>Government</w:t>
      </w:r>
      <w:proofErr w:type="gramEnd"/>
      <w:r>
        <w:rPr>
          <w:sz w:val="21"/>
        </w:rPr>
        <w:t xml:space="preserve"> and other</w:t>
      </w:r>
      <w:r>
        <w:rPr>
          <w:spacing w:val="-2"/>
          <w:sz w:val="21"/>
        </w:rPr>
        <w:t xml:space="preserve"> </w:t>
      </w:r>
      <w:r>
        <w:rPr>
          <w:sz w:val="21"/>
        </w:rPr>
        <w:t>stakeholders.</w:t>
      </w:r>
    </w:p>
    <w:p w14:paraId="0D35B85B" w14:textId="77777777" w:rsidR="005A7F14" w:rsidRDefault="0031751E">
      <w:pPr>
        <w:pStyle w:val="BodyText"/>
        <w:spacing w:before="121"/>
      </w:pPr>
      <w:r>
        <w:t>SVA Consulting’s analyses concluded that, over the period 2009 to 2015 financial years, an investment of</w:t>
      </w:r>
    </w:p>
    <w:p w14:paraId="60EE2F6F" w14:textId="77777777" w:rsidR="005A7F14" w:rsidRDefault="0031751E">
      <w:pPr>
        <w:pStyle w:val="BodyText"/>
        <w:spacing w:before="19" w:line="259" w:lineRule="auto"/>
        <w:ind w:right="275"/>
      </w:pPr>
      <w:r>
        <w:t>$35.2m from Government and a range of third party investors generated social, economic, cultural and environmental outcomes with an adjusted value of $96.5m. SVA concluded that ‘The analyses support the prevailing view that the IPA and Working on Country (</w:t>
      </w:r>
      <w:proofErr w:type="spellStart"/>
      <w:r>
        <w:t>WoC</w:t>
      </w:r>
      <w:proofErr w:type="spellEnd"/>
      <w:r>
        <w:t>) programs have succeeded across a broad range of outcome areas, effectively overcoming barriers to addressing Indigenous disadvantage and engaging Indigenous Australians in meaningful employment to achieve large scale conservation outcomes’ (SVA Consulting, 2016: 30).</w:t>
      </w:r>
    </w:p>
    <w:p w14:paraId="2C9E8DE4" w14:textId="77777777" w:rsidR="005A7F14" w:rsidRDefault="0031751E">
      <w:pPr>
        <w:pStyle w:val="BodyText"/>
        <w:spacing w:before="120" w:line="259" w:lineRule="auto"/>
        <w:ind w:right="161"/>
      </w:pPr>
      <w:r>
        <w:t xml:space="preserve">It is well established that IPAs deliver more than environmental benefits because the Indigenous managers are ‘caring for their Country’ (Garnett and Sithole, 2007; Ganesharajah, 2009; Burgess </w:t>
      </w:r>
      <w:r>
        <w:rPr>
          <w:i/>
        </w:rPr>
        <w:t xml:space="preserve">et al, </w:t>
      </w:r>
      <w:r>
        <w:t xml:space="preserve">2009; Zander and Garnett, 2011; Larson </w:t>
      </w:r>
      <w:r>
        <w:rPr>
          <w:i/>
        </w:rPr>
        <w:t>et al</w:t>
      </w:r>
      <w:r>
        <w:t xml:space="preserve">, 2020). Indigenous communities managing the IPAs </w:t>
      </w:r>
      <w:proofErr w:type="gramStart"/>
      <w:r>
        <w:t>are able to</w:t>
      </w:r>
      <w:proofErr w:type="gramEnd"/>
      <w:r>
        <w:t xml:space="preserve"> protect the values of their Country for future generations and achieve significant health, education, economic, social and cultural benefits. These benefits are beyond doubt (SVA Consulting,</w:t>
      </w:r>
      <w:r>
        <w:rPr>
          <w:spacing w:val="-5"/>
        </w:rPr>
        <w:t xml:space="preserve"> </w:t>
      </w:r>
      <w:r>
        <w:t>2016).</w:t>
      </w:r>
    </w:p>
    <w:p w14:paraId="59B63220" w14:textId="77777777" w:rsidR="005A7F14" w:rsidRDefault="005A7F14">
      <w:pPr>
        <w:pStyle w:val="BodyText"/>
        <w:spacing w:before="7"/>
        <w:ind w:left="0"/>
        <w:rPr>
          <w:sz w:val="19"/>
        </w:rPr>
      </w:pPr>
    </w:p>
    <w:p w14:paraId="3DADEEB6" w14:textId="77777777" w:rsidR="005A7F14" w:rsidRPr="005D0CA2" w:rsidRDefault="0031751E">
      <w:pPr>
        <w:pStyle w:val="Heading1"/>
        <w:numPr>
          <w:ilvl w:val="1"/>
          <w:numId w:val="6"/>
        </w:numPr>
        <w:tabs>
          <w:tab w:val="left" w:pos="860"/>
          <w:tab w:val="left" w:pos="861"/>
        </w:tabs>
        <w:ind w:hanging="721"/>
        <w:rPr>
          <w:b/>
          <w:bCs/>
        </w:rPr>
      </w:pPr>
      <w:r w:rsidRPr="005D0CA2">
        <w:rPr>
          <w:b/>
          <w:bCs/>
        </w:rPr>
        <w:t>New IPA’s in the planning</w:t>
      </w:r>
      <w:r w:rsidRPr="005D0CA2">
        <w:rPr>
          <w:b/>
          <w:bCs/>
          <w:spacing w:val="-6"/>
        </w:rPr>
        <w:t xml:space="preserve"> </w:t>
      </w:r>
      <w:r w:rsidRPr="005D0CA2">
        <w:rPr>
          <w:b/>
          <w:bCs/>
        </w:rPr>
        <w:t>stage</w:t>
      </w:r>
    </w:p>
    <w:p w14:paraId="54AB83F9" w14:textId="77777777" w:rsidR="005A7F14" w:rsidRDefault="0031751E">
      <w:pPr>
        <w:pStyle w:val="BodyText"/>
        <w:spacing w:before="147" w:line="259" w:lineRule="auto"/>
        <w:ind w:right="662"/>
      </w:pPr>
      <w:r>
        <w:t>In 2017, the Australian Government committed $15 million under the IPA Program to assist Indigenous groups to undertake consultation and planning for the establishment of new IPAs.</w:t>
      </w:r>
    </w:p>
    <w:p w14:paraId="52F2C8B7" w14:textId="77777777" w:rsidR="005A7F14" w:rsidRDefault="0031751E">
      <w:pPr>
        <w:pStyle w:val="BodyText"/>
        <w:spacing w:before="119" w:line="259" w:lineRule="auto"/>
        <w:ind w:right="217"/>
      </w:pPr>
      <w:r>
        <w:t>A Competitive Grant Round of the New Indigenous Protected Areas Program opened on 18 February 2019 and closed on 30 April 2019. Following the round, the Australian Government announced funding for seven new IPA consultation projects.</w:t>
      </w:r>
    </w:p>
    <w:p w14:paraId="470AE57A" w14:textId="77777777" w:rsidR="005A7F14" w:rsidRDefault="0031751E">
      <w:pPr>
        <w:pStyle w:val="BodyText"/>
        <w:spacing w:before="120" w:line="259" w:lineRule="auto"/>
        <w:ind w:right="295"/>
      </w:pPr>
      <w:r>
        <w:t>A Discretionary Grant Round of the New Indigenous Protected Areas Program was held in early 2018. Following the round, the Australian Government announced funding for a further five new IPA consultation projects.</w:t>
      </w:r>
    </w:p>
    <w:p w14:paraId="081260BA" w14:textId="77777777" w:rsidR="005A7F14" w:rsidRDefault="0031751E">
      <w:pPr>
        <w:pStyle w:val="BodyText"/>
        <w:spacing w:before="119" w:line="259" w:lineRule="auto"/>
        <w:ind w:right="119"/>
      </w:pPr>
      <w:r>
        <w:t xml:space="preserve">The 12 new IPA Projects are listed in </w:t>
      </w:r>
      <w:r w:rsidRPr="00E56D12">
        <w:rPr>
          <w:b/>
          <w:bCs/>
        </w:rPr>
        <w:t>Appendix I</w:t>
      </w:r>
      <w:r>
        <w:t>. Combined, the 12 new IPA projects from the Competitive and Discretionary Grant Rounds cover over 33 million terrestrial hectares and over 1.8 million hectares of sea Country. Once dedicated, the new IPAs will add over 30 million hectares to the National Reserve System, increasing the size of the National Reserve System by almost 20 per cent. (DAWE, 2020).</w:t>
      </w:r>
    </w:p>
    <w:p w14:paraId="44156629" w14:textId="77777777" w:rsidR="005A7F14" w:rsidRDefault="005A7F14">
      <w:pPr>
        <w:pStyle w:val="BodyText"/>
        <w:spacing w:before="8"/>
        <w:ind w:left="0"/>
        <w:rPr>
          <w:sz w:val="19"/>
        </w:rPr>
      </w:pPr>
    </w:p>
    <w:p w14:paraId="03FCFB47" w14:textId="77777777" w:rsidR="005A7F14" w:rsidRPr="005D0CA2" w:rsidRDefault="0031751E">
      <w:pPr>
        <w:pStyle w:val="Heading1"/>
        <w:numPr>
          <w:ilvl w:val="1"/>
          <w:numId w:val="6"/>
        </w:numPr>
        <w:tabs>
          <w:tab w:val="left" w:pos="860"/>
          <w:tab w:val="left" w:pos="861"/>
        </w:tabs>
        <w:ind w:hanging="721"/>
        <w:rPr>
          <w:b/>
          <w:bCs/>
        </w:rPr>
      </w:pPr>
      <w:r w:rsidRPr="005D0CA2">
        <w:rPr>
          <w:b/>
          <w:bCs/>
        </w:rPr>
        <w:t>NESP research on</w:t>
      </w:r>
      <w:r w:rsidRPr="005D0CA2">
        <w:rPr>
          <w:b/>
          <w:bCs/>
          <w:spacing w:val="-3"/>
        </w:rPr>
        <w:t xml:space="preserve"> </w:t>
      </w:r>
      <w:r w:rsidRPr="005D0CA2">
        <w:rPr>
          <w:b/>
          <w:bCs/>
        </w:rPr>
        <w:t>IPAs</w:t>
      </w:r>
    </w:p>
    <w:p w14:paraId="1B40981B" w14:textId="77777777" w:rsidR="005A7F14" w:rsidRDefault="0031751E">
      <w:pPr>
        <w:pStyle w:val="BodyText"/>
        <w:spacing w:before="145" w:line="259" w:lineRule="auto"/>
        <w:ind w:right="212"/>
      </w:pPr>
      <w:r>
        <w:t xml:space="preserve">The IPAs have been the subject of several research projects under the NESP, both in terms of </w:t>
      </w:r>
      <w:proofErr w:type="gramStart"/>
      <w:r>
        <w:t>particular sites</w:t>
      </w:r>
      <w:proofErr w:type="gramEnd"/>
      <w:r>
        <w:t xml:space="preserve"> as well as more broadly for the value of the network of IPAs across Australia, in particular by the NAER Hub. The following two projects are of particular significance.</w:t>
      </w:r>
    </w:p>
    <w:p w14:paraId="1817F7F6" w14:textId="77777777" w:rsidR="005A7F14" w:rsidRPr="00E56D12" w:rsidRDefault="0031751E">
      <w:pPr>
        <w:spacing w:before="120" w:line="259" w:lineRule="auto"/>
        <w:ind w:left="140" w:right="217"/>
        <w:rPr>
          <w:sz w:val="21"/>
        </w:rPr>
      </w:pPr>
      <w:r w:rsidRPr="00E56D12">
        <w:rPr>
          <w:b/>
          <w:bCs/>
          <w:i/>
          <w:sz w:val="21"/>
        </w:rPr>
        <w:t>Country: multiple values, multiple benefits into the future. Research priorities for Indigenous Protected Areas across northern Australia</w:t>
      </w:r>
      <w:r w:rsidRPr="00E56D12">
        <w:rPr>
          <w:b/>
          <w:bCs/>
          <w:sz w:val="21"/>
        </w:rPr>
        <w:t xml:space="preserve">. </w:t>
      </w:r>
      <w:r w:rsidRPr="00E56D12">
        <w:rPr>
          <w:sz w:val="21"/>
        </w:rPr>
        <w:t xml:space="preserve">(Hill </w:t>
      </w:r>
      <w:r w:rsidRPr="00E56D12">
        <w:rPr>
          <w:i/>
          <w:sz w:val="21"/>
        </w:rPr>
        <w:t xml:space="preserve">et al, </w:t>
      </w:r>
      <w:r w:rsidRPr="00E56D12">
        <w:rPr>
          <w:sz w:val="21"/>
        </w:rPr>
        <w:t>2016)</w:t>
      </w:r>
    </w:p>
    <w:p w14:paraId="6A905C06" w14:textId="77777777" w:rsidR="005A7F14" w:rsidRDefault="0031751E">
      <w:pPr>
        <w:pStyle w:val="BodyText"/>
        <w:spacing w:before="121" w:line="259" w:lineRule="auto"/>
        <w:ind w:right="158"/>
      </w:pPr>
      <w:r>
        <w:t xml:space="preserve">This project sought to identify the environmental, social, </w:t>
      </w:r>
      <w:proofErr w:type="gramStart"/>
      <w:r>
        <w:t>economic</w:t>
      </w:r>
      <w:proofErr w:type="gramEnd"/>
      <w:r>
        <w:t xml:space="preserve"> and cultural benefits associated with IPAs in northern Australia and an assessment of the research priorities for IPAs. The project was undertaken in collaboration with IPA managers, government, non-</w:t>
      </w:r>
      <w:proofErr w:type="gramStart"/>
      <w:r>
        <w:t>government</w:t>
      </w:r>
      <w:proofErr w:type="gramEnd"/>
      <w:r>
        <w:t xml:space="preserve"> and research stakeholders across the north of Australia and included literature reviews, interviews and workshops to assess research priorities for</w:t>
      </w:r>
    </w:p>
    <w:p w14:paraId="3F275335" w14:textId="77777777" w:rsidR="005A7F14" w:rsidRDefault="0031751E">
      <w:pPr>
        <w:pStyle w:val="BodyText"/>
        <w:spacing w:line="256" w:lineRule="exact"/>
      </w:pPr>
      <w:r>
        <w:t>northern Australia’s IPAs.</w:t>
      </w:r>
    </w:p>
    <w:p w14:paraId="62AFE9D9" w14:textId="77777777" w:rsidR="005A7F14" w:rsidRDefault="0031751E">
      <w:pPr>
        <w:pStyle w:val="BodyText"/>
        <w:spacing w:before="139" w:line="259" w:lineRule="auto"/>
        <w:ind w:right="171"/>
      </w:pPr>
      <w:r>
        <w:t xml:space="preserve">The project identified five priority research topics and questions and six key findings about IPAs that underpin and explain the research results. The greatest single research priority identified was the development of new models of research in which Indigenous people are central to the planning, </w:t>
      </w:r>
      <w:proofErr w:type="gramStart"/>
      <w:r>
        <w:t>process</w:t>
      </w:r>
      <w:proofErr w:type="gramEnd"/>
      <w:r>
        <w:t xml:space="preserve"> and outcomes. The remaining four research topics and questions were relatively equally weighted and focussed</w:t>
      </w:r>
    </w:p>
    <w:p w14:paraId="11AB229F" w14:textId="77777777" w:rsidR="005A7F14" w:rsidRDefault="005A7F14">
      <w:pPr>
        <w:spacing w:line="259" w:lineRule="auto"/>
        <w:sectPr w:rsidR="005A7F14">
          <w:pgSz w:w="11910" w:h="16840"/>
          <w:pgMar w:top="1360" w:right="1000" w:bottom="940" w:left="1420" w:header="0" w:footer="747" w:gutter="0"/>
          <w:cols w:space="720"/>
        </w:sectPr>
      </w:pPr>
    </w:p>
    <w:p w14:paraId="6D5BD9BE" w14:textId="77777777" w:rsidR="005A7F14" w:rsidRDefault="0031751E">
      <w:pPr>
        <w:pStyle w:val="BodyText"/>
        <w:spacing w:before="41" w:line="259" w:lineRule="auto"/>
        <w:ind w:right="762"/>
      </w:pPr>
      <w:r>
        <w:lastRenderedPageBreak/>
        <w:t>on the need to acquire knowledge to manage Country into the future for multiple values and multiple benefits.</w:t>
      </w:r>
    </w:p>
    <w:p w14:paraId="77BD3FC3" w14:textId="77777777" w:rsidR="005A7F14" w:rsidRDefault="0031751E">
      <w:pPr>
        <w:pStyle w:val="BodyText"/>
        <w:spacing w:before="119"/>
      </w:pPr>
      <w:r>
        <w:t>The five critical research topics and questions are:</w:t>
      </w:r>
    </w:p>
    <w:p w14:paraId="324411DA" w14:textId="77777777" w:rsidR="005A7F14" w:rsidRDefault="0031751E">
      <w:pPr>
        <w:pStyle w:val="ListParagraph"/>
        <w:numPr>
          <w:ilvl w:val="0"/>
          <w:numId w:val="5"/>
        </w:numPr>
        <w:tabs>
          <w:tab w:val="left" w:pos="860"/>
          <w:tab w:val="left" w:pos="861"/>
        </w:tabs>
        <w:spacing w:before="142" w:line="259" w:lineRule="auto"/>
        <w:ind w:right="468"/>
        <w:rPr>
          <w:sz w:val="21"/>
        </w:rPr>
      </w:pPr>
      <w:r>
        <w:rPr>
          <w:sz w:val="21"/>
        </w:rPr>
        <w:t>New research models: What innovations and adaptations to environmental research models can enable Indigenous people to be central and gain greater benefit from current and new</w:t>
      </w:r>
      <w:r>
        <w:rPr>
          <w:spacing w:val="-26"/>
          <w:sz w:val="21"/>
        </w:rPr>
        <w:t xml:space="preserve"> </w:t>
      </w:r>
      <w:r>
        <w:rPr>
          <w:sz w:val="21"/>
        </w:rPr>
        <w:t>research?</w:t>
      </w:r>
    </w:p>
    <w:p w14:paraId="786DB554" w14:textId="77777777" w:rsidR="005A7F14" w:rsidRDefault="0031751E">
      <w:pPr>
        <w:pStyle w:val="ListParagraph"/>
        <w:numPr>
          <w:ilvl w:val="0"/>
          <w:numId w:val="5"/>
        </w:numPr>
        <w:tabs>
          <w:tab w:val="left" w:pos="860"/>
          <w:tab w:val="left" w:pos="861"/>
        </w:tabs>
        <w:spacing w:line="259" w:lineRule="auto"/>
        <w:ind w:right="439"/>
        <w:rPr>
          <w:sz w:val="21"/>
        </w:rPr>
      </w:pPr>
      <w:r>
        <w:rPr>
          <w:sz w:val="21"/>
        </w:rPr>
        <w:t>Economic dimensions: What does Indigenous land management contribute when valued through economic</w:t>
      </w:r>
      <w:r>
        <w:rPr>
          <w:spacing w:val="-2"/>
          <w:sz w:val="21"/>
        </w:rPr>
        <w:t xml:space="preserve"> </w:t>
      </w:r>
      <w:r>
        <w:rPr>
          <w:sz w:val="21"/>
        </w:rPr>
        <w:t>approaches?</w:t>
      </w:r>
    </w:p>
    <w:p w14:paraId="23D24F41" w14:textId="77777777" w:rsidR="005A7F14" w:rsidRDefault="0031751E">
      <w:pPr>
        <w:pStyle w:val="ListParagraph"/>
        <w:numPr>
          <w:ilvl w:val="0"/>
          <w:numId w:val="5"/>
        </w:numPr>
        <w:tabs>
          <w:tab w:val="left" w:pos="860"/>
          <w:tab w:val="left" w:pos="861"/>
        </w:tabs>
        <w:spacing w:line="259" w:lineRule="auto"/>
        <w:ind w:right="396"/>
        <w:rPr>
          <w:sz w:val="21"/>
        </w:rPr>
      </w:pPr>
      <w:r>
        <w:rPr>
          <w:sz w:val="21"/>
        </w:rPr>
        <w:t>Knowledge brokering: How can both science and Indigenous knowledge be made more accessible and useful to Indigenous decision</w:t>
      </w:r>
      <w:r>
        <w:rPr>
          <w:spacing w:val="-7"/>
          <w:sz w:val="21"/>
        </w:rPr>
        <w:t xml:space="preserve"> </w:t>
      </w:r>
      <w:r>
        <w:rPr>
          <w:sz w:val="21"/>
        </w:rPr>
        <w:t>makers?</w:t>
      </w:r>
    </w:p>
    <w:p w14:paraId="56372E47" w14:textId="77777777" w:rsidR="005A7F14" w:rsidRDefault="0031751E">
      <w:pPr>
        <w:pStyle w:val="ListParagraph"/>
        <w:numPr>
          <w:ilvl w:val="0"/>
          <w:numId w:val="5"/>
        </w:numPr>
        <w:tabs>
          <w:tab w:val="left" w:pos="860"/>
          <w:tab w:val="left" w:pos="861"/>
        </w:tabs>
        <w:spacing w:line="261" w:lineRule="auto"/>
        <w:ind w:right="179"/>
        <w:rPr>
          <w:sz w:val="21"/>
        </w:rPr>
      </w:pPr>
      <w:r>
        <w:rPr>
          <w:sz w:val="21"/>
        </w:rPr>
        <w:t xml:space="preserve">Sustainable enterprise: How can Indigenous caring for Country be made sustainable through models of planning, innovation, governance, and business that </w:t>
      </w:r>
      <w:r>
        <w:rPr>
          <w:spacing w:val="-2"/>
          <w:sz w:val="21"/>
        </w:rPr>
        <w:t xml:space="preserve">can </w:t>
      </w:r>
      <w:r>
        <w:rPr>
          <w:sz w:val="21"/>
        </w:rPr>
        <w:t>be tailored to diverse</w:t>
      </w:r>
      <w:r>
        <w:rPr>
          <w:spacing w:val="-12"/>
          <w:sz w:val="21"/>
        </w:rPr>
        <w:t xml:space="preserve"> </w:t>
      </w:r>
      <w:r>
        <w:rPr>
          <w:sz w:val="21"/>
        </w:rPr>
        <w:t>contexts?</w:t>
      </w:r>
    </w:p>
    <w:p w14:paraId="1DF74671" w14:textId="77777777" w:rsidR="005A7F14" w:rsidRDefault="0031751E">
      <w:pPr>
        <w:pStyle w:val="ListParagraph"/>
        <w:numPr>
          <w:ilvl w:val="0"/>
          <w:numId w:val="5"/>
        </w:numPr>
        <w:tabs>
          <w:tab w:val="left" w:pos="860"/>
          <w:tab w:val="left" w:pos="861"/>
        </w:tabs>
        <w:spacing w:line="259" w:lineRule="auto"/>
        <w:ind w:right="473"/>
        <w:rPr>
          <w:sz w:val="21"/>
        </w:rPr>
      </w:pPr>
      <w:r>
        <w:rPr>
          <w:sz w:val="21"/>
        </w:rPr>
        <w:t xml:space="preserve">Frameworks responsive to new impacts: What participatory monitoring, participatory impact assessment methods, and institutional or tenure responses, enable protection of Country in response to new impacts e.g. new conservation and development proposals? (Hill </w:t>
      </w:r>
      <w:r>
        <w:rPr>
          <w:i/>
          <w:sz w:val="21"/>
        </w:rPr>
        <w:t>et al</w:t>
      </w:r>
      <w:r>
        <w:rPr>
          <w:sz w:val="21"/>
        </w:rPr>
        <w:t>, 2016:10; NAER,</w:t>
      </w:r>
      <w:r>
        <w:rPr>
          <w:spacing w:val="-2"/>
          <w:sz w:val="21"/>
        </w:rPr>
        <w:t xml:space="preserve"> </w:t>
      </w:r>
      <w:r>
        <w:rPr>
          <w:sz w:val="21"/>
        </w:rPr>
        <w:t>2016)</w:t>
      </w:r>
    </w:p>
    <w:p w14:paraId="32561F10" w14:textId="77777777" w:rsidR="005A7F14" w:rsidRDefault="0031751E">
      <w:pPr>
        <w:pStyle w:val="BodyText"/>
        <w:spacing w:before="112"/>
      </w:pPr>
      <w:r>
        <w:t>The six key findings that underpin the needs are:</w:t>
      </w:r>
    </w:p>
    <w:p w14:paraId="2CF283A1" w14:textId="77777777" w:rsidR="005A7F14" w:rsidRDefault="0031751E">
      <w:pPr>
        <w:pStyle w:val="ListParagraph"/>
        <w:numPr>
          <w:ilvl w:val="0"/>
          <w:numId w:val="4"/>
        </w:numPr>
        <w:tabs>
          <w:tab w:val="left" w:pos="860"/>
          <w:tab w:val="left" w:pos="861"/>
        </w:tabs>
        <w:spacing w:before="140" w:line="259" w:lineRule="auto"/>
        <w:ind w:right="497"/>
        <w:rPr>
          <w:sz w:val="21"/>
        </w:rPr>
      </w:pPr>
      <w:r>
        <w:rPr>
          <w:sz w:val="21"/>
        </w:rPr>
        <w:t>Caring for Country through IPAs across northern Australia forms part of the broader spectrum of Indigenous land management activities that have similar features, resulting in similar research needs.</w:t>
      </w:r>
    </w:p>
    <w:p w14:paraId="6EB070A8" w14:textId="77777777" w:rsidR="005A7F14" w:rsidRDefault="0031751E">
      <w:pPr>
        <w:pStyle w:val="ListParagraph"/>
        <w:numPr>
          <w:ilvl w:val="0"/>
          <w:numId w:val="4"/>
        </w:numPr>
        <w:tabs>
          <w:tab w:val="left" w:pos="860"/>
          <w:tab w:val="left" w:pos="861"/>
        </w:tabs>
        <w:ind w:hanging="361"/>
        <w:rPr>
          <w:sz w:val="21"/>
        </w:rPr>
      </w:pPr>
      <w:r>
        <w:rPr>
          <w:sz w:val="21"/>
        </w:rPr>
        <w:t>All research needs identified fit within the theme of understanding how to manage Country</w:t>
      </w:r>
      <w:r>
        <w:rPr>
          <w:spacing w:val="-17"/>
          <w:sz w:val="21"/>
        </w:rPr>
        <w:t xml:space="preserve"> </w:t>
      </w:r>
      <w:r>
        <w:rPr>
          <w:sz w:val="21"/>
        </w:rPr>
        <w:t>for</w:t>
      </w:r>
    </w:p>
    <w:p w14:paraId="01DECD94" w14:textId="77777777" w:rsidR="005A7F14" w:rsidRDefault="0031751E">
      <w:pPr>
        <w:pStyle w:val="BodyText"/>
        <w:spacing w:before="20"/>
        <w:ind w:left="860"/>
      </w:pPr>
      <w:r>
        <w:t>multiple values and multiple benefits while supporting today’s youth into the future.</w:t>
      </w:r>
    </w:p>
    <w:p w14:paraId="5B8153A5" w14:textId="77777777" w:rsidR="005A7F14" w:rsidRDefault="0031751E">
      <w:pPr>
        <w:pStyle w:val="ListParagraph"/>
        <w:numPr>
          <w:ilvl w:val="0"/>
          <w:numId w:val="4"/>
        </w:numPr>
        <w:tabs>
          <w:tab w:val="left" w:pos="860"/>
          <w:tab w:val="left" w:pos="861"/>
        </w:tabs>
        <w:spacing w:before="19" w:line="259" w:lineRule="auto"/>
        <w:ind w:right="164"/>
        <w:rPr>
          <w:sz w:val="21"/>
        </w:rPr>
      </w:pPr>
      <w:r>
        <w:rPr>
          <w:sz w:val="21"/>
        </w:rPr>
        <w:t xml:space="preserve">The greatest priority of Indigenous land managers for research is the development of new research models in which they are central. These should be tailored to their diverse environmental, </w:t>
      </w:r>
      <w:proofErr w:type="gramStart"/>
      <w:r>
        <w:rPr>
          <w:sz w:val="21"/>
        </w:rPr>
        <w:t>economic</w:t>
      </w:r>
      <w:proofErr w:type="gramEnd"/>
      <w:r>
        <w:rPr>
          <w:sz w:val="21"/>
        </w:rPr>
        <w:t xml:space="preserve"> and social information needs. Peer to peer Indigenous networking is vital</w:t>
      </w:r>
      <w:r>
        <w:rPr>
          <w:spacing w:val="-10"/>
          <w:sz w:val="21"/>
        </w:rPr>
        <w:t xml:space="preserve"> </w:t>
      </w:r>
      <w:r>
        <w:rPr>
          <w:sz w:val="21"/>
        </w:rPr>
        <w:t>here.</w:t>
      </w:r>
    </w:p>
    <w:p w14:paraId="0B72D995" w14:textId="77777777" w:rsidR="005A7F14" w:rsidRDefault="0031751E">
      <w:pPr>
        <w:pStyle w:val="ListParagraph"/>
        <w:numPr>
          <w:ilvl w:val="0"/>
          <w:numId w:val="4"/>
        </w:numPr>
        <w:tabs>
          <w:tab w:val="left" w:pos="860"/>
          <w:tab w:val="left" w:pos="861"/>
        </w:tabs>
        <w:spacing w:line="261" w:lineRule="auto"/>
        <w:ind w:right="268"/>
        <w:rPr>
          <w:sz w:val="21"/>
        </w:rPr>
      </w:pPr>
      <w:r>
        <w:rPr>
          <w:sz w:val="21"/>
        </w:rPr>
        <w:t xml:space="preserve">Place-based, integrative research and practice through Indigenous-driven case studies provides the best model to address the diverse, </w:t>
      </w:r>
      <w:r>
        <w:rPr>
          <w:i/>
          <w:sz w:val="21"/>
        </w:rPr>
        <w:t xml:space="preserve">area specific </w:t>
      </w:r>
      <w:r>
        <w:rPr>
          <w:sz w:val="21"/>
        </w:rPr>
        <w:t>research needs of land</w:t>
      </w:r>
      <w:r>
        <w:rPr>
          <w:spacing w:val="-10"/>
          <w:sz w:val="21"/>
        </w:rPr>
        <w:t xml:space="preserve"> </w:t>
      </w:r>
      <w:r>
        <w:rPr>
          <w:sz w:val="21"/>
        </w:rPr>
        <w:t>managers.</w:t>
      </w:r>
    </w:p>
    <w:p w14:paraId="5011DE2D" w14:textId="77777777" w:rsidR="005A7F14" w:rsidRDefault="0031751E">
      <w:pPr>
        <w:pStyle w:val="ListParagraph"/>
        <w:numPr>
          <w:ilvl w:val="0"/>
          <w:numId w:val="4"/>
        </w:numPr>
        <w:tabs>
          <w:tab w:val="left" w:pos="860"/>
          <w:tab w:val="left" w:pos="861"/>
        </w:tabs>
        <w:spacing w:line="259" w:lineRule="auto"/>
        <w:ind w:right="247"/>
        <w:rPr>
          <w:sz w:val="21"/>
        </w:rPr>
      </w:pPr>
      <w:r>
        <w:rPr>
          <w:sz w:val="21"/>
        </w:rPr>
        <w:t>Systematic and participatory prioritisation of research needs can be supported through: looking at priorities listed in strategic plans; identifying current and future factors that affect people and Country; Indigenous-led group discussions about criteria to guide decisions; ranking based on these criteria in workshops; interviews to discuss priorities; and review and feedback before</w:t>
      </w:r>
      <w:r>
        <w:rPr>
          <w:spacing w:val="-31"/>
          <w:sz w:val="21"/>
        </w:rPr>
        <w:t xml:space="preserve"> </w:t>
      </w:r>
      <w:r>
        <w:rPr>
          <w:sz w:val="21"/>
        </w:rPr>
        <w:t>finalisation.</w:t>
      </w:r>
    </w:p>
    <w:p w14:paraId="58855543" w14:textId="77777777" w:rsidR="005A7F14" w:rsidRDefault="0031751E">
      <w:pPr>
        <w:pStyle w:val="ListParagraph"/>
        <w:numPr>
          <w:ilvl w:val="0"/>
          <w:numId w:val="4"/>
        </w:numPr>
        <w:tabs>
          <w:tab w:val="left" w:pos="860"/>
          <w:tab w:val="left" w:pos="861"/>
        </w:tabs>
        <w:spacing w:line="259" w:lineRule="auto"/>
        <w:ind w:right="203"/>
        <w:rPr>
          <w:sz w:val="21"/>
        </w:rPr>
      </w:pPr>
      <w:r>
        <w:rPr>
          <w:sz w:val="21"/>
        </w:rPr>
        <w:t xml:space="preserve">Current factors that influence research priorities for land management are a mix of opportunities, challenges, and factors that could be considered as both. For example: deriving economic and other benefits is an opportunity; prevalent community socio-economic disadvantage is a challenge; and large numbers of youth in communities can be viewed as both an opportunity and a challenge. (Hill </w:t>
      </w:r>
      <w:r>
        <w:rPr>
          <w:i/>
          <w:sz w:val="21"/>
        </w:rPr>
        <w:t>et al</w:t>
      </w:r>
      <w:r>
        <w:rPr>
          <w:sz w:val="21"/>
        </w:rPr>
        <w:t>, 2016:10; NAER,</w:t>
      </w:r>
      <w:r>
        <w:rPr>
          <w:spacing w:val="-5"/>
          <w:sz w:val="21"/>
        </w:rPr>
        <w:t xml:space="preserve"> </w:t>
      </w:r>
      <w:r>
        <w:rPr>
          <w:sz w:val="21"/>
        </w:rPr>
        <w:t>2016)</w:t>
      </w:r>
    </w:p>
    <w:p w14:paraId="0E24E148" w14:textId="77777777" w:rsidR="005A7F14" w:rsidRDefault="0031751E">
      <w:pPr>
        <w:pStyle w:val="BodyText"/>
        <w:spacing w:before="113" w:line="259" w:lineRule="auto"/>
        <w:ind w:right="126"/>
      </w:pPr>
      <w:r>
        <w:t>The research outcomes were also seen by the participants to apply to broader Indigenous land management activities across Northern Australia (and possibly elsewhere in Australia also), and not just to IPAs (NAER Hub, 2016).</w:t>
      </w:r>
    </w:p>
    <w:p w14:paraId="37E336E3" w14:textId="77777777" w:rsidR="005A7F14" w:rsidRDefault="0031751E">
      <w:pPr>
        <w:spacing w:before="120"/>
        <w:ind w:left="140"/>
        <w:rPr>
          <w:sz w:val="21"/>
        </w:rPr>
      </w:pPr>
      <w:r w:rsidRPr="00E56D12">
        <w:rPr>
          <w:b/>
          <w:bCs/>
          <w:i/>
          <w:sz w:val="21"/>
        </w:rPr>
        <w:t>Economic values and Indigenous Protected Areas across Northern Australia</w:t>
      </w:r>
      <w:r>
        <w:rPr>
          <w:i/>
          <w:sz w:val="21"/>
        </w:rPr>
        <w:t xml:space="preserve"> </w:t>
      </w:r>
      <w:r>
        <w:rPr>
          <w:sz w:val="21"/>
        </w:rPr>
        <w:t xml:space="preserve">(Farr </w:t>
      </w:r>
      <w:r>
        <w:rPr>
          <w:i/>
          <w:sz w:val="21"/>
        </w:rPr>
        <w:t xml:space="preserve">et al, </w:t>
      </w:r>
      <w:r>
        <w:rPr>
          <w:sz w:val="21"/>
        </w:rPr>
        <w:t>2016)</w:t>
      </w:r>
    </w:p>
    <w:p w14:paraId="22BD70FE" w14:textId="77777777" w:rsidR="005A7F14" w:rsidRDefault="0031751E">
      <w:pPr>
        <w:pStyle w:val="BodyText"/>
        <w:spacing w:before="140" w:line="259" w:lineRule="auto"/>
        <w:ind w:right="154"/>
      </w:pPr>
      <w:r>
        <w:t>A sub-component of the project discussed above was research on the economic values of IPAs. The study involved a systematic review of the empirical valuation literature relating to benefits associated with IPAs, revealing that some benefits are quantified in monetary terms more frequently than others, both in Australia and elsewhere. The research identified substantive gaps in our understanding of the numerous benefits – of their value to different people, in different contexts, in their entirety, and relative to other benefits. There is a focus on the things that can be easily quantified, and if it is not able to be quantified there is a lack</w:t>
      </w:r>
      <w:r>
        <w:rPr>
          <w:spacing w:val="-24"/>
        </w:rPr>
        <w:t xml:space="preserve"> </w:t>
      </w:r>
      <w:r>
        <w:t>of</w:t>
      </w:r>
    </w:p>
    <w:p w14:paraId="58A48189" w14:textId="77777777" w:rsidR="005A7F14" w:rsidRDefault="0031751E">
      <w:pPr>
        <w:pStyle w:val="BodyText"/>
        <w:spacing w:line="259" w:lineRule="auto"/>
        <w:ind w:right="151"/>
      </w:pPr>
      <w:r>
        <w:t>‘visibility’ or ‘presence’. Hence, vitally important non-market goods and services associated with IPAs may be overlooked, particularly by decision-makers who are driven by quantitative and/or economic data. The research concluded that it is important to find ways of highlighting the importance of those non-market</w:t>
      </w:r>
    </w:p>
    <w:p w14:paraId="3A0A46A0" w14:textId="77777777" w:rsidR="005A7F14" w:rsidRDefault="005A7F14">
      <w:pPr>
        <w:spacing w:line="259" w:lineRule="auto"/>
        <w:sectPr w:rsidR="005A7F14">
          <w:pgSz w:w="11910" w:h="16840"/>
          <w:pgMar w:top="1360" w:right="1000" w:bottom="940" w:left="1420" w:header="0" w:footer="747" w:gutter="0"/>
          <w:cols w:space="720"/>
        </w:sectPr>
      </w:pPr>
    </w:p>
    <w:p w14:paraId="37444A82" w14:textId="77777777" w:rsidR="005A7F14" w:rsidRDefault="0031751E">
      <w:pPr>
        <w:pStyle w:val="BodyText"/>
        <w:spacing w:before="41" w:line="259" w:lineRule="auto"/>
        <w:ind w:right="329"/>
      </w:pPr>
      <w:r>
        <w:lastRenderedPageBreak/>
        <w:t xml:space="preserve">benefits, so that resources can be directed in a manner that generates most benefit per dollar spent. The researchers note that no single method of assessing benefits is suitable in all situations and that more than one method may be required to assess the multiple benefits associated with IPAs (Farr </w:t>
      </w:r>
      <w:r>
        <w:rPr>
          <w:i/>
        </w:rPr>
        <w:t xml:space="preserve">et al, </w:t>
      </w:r>
      <w:r>
        <w:t>2016:41).</w:t>
      </w:r>
    </w:p>
    <w:p w14:paraId="51EB23A9" w14:textId="77777777" w:rsidR="005A7F14" w:rsidRDefault="0031751E">
      <w:pPr>
        <w:pStyle w:val="BodyText"/>
        <w:spacing w:before="121"/>
      </w:pPr>
      <w:r>
        <w:t>More significantly, the report concludes that:</w:t>
      </w:r>
    </w:p>
    <w:p w14:paraId="44C3DA58" w14:textId="77777777" w:rsidR="005A7F14" w:rsidRDefault="0031751E">
      <w:pPr>
        <w:spacing w:before="139" w:line="259" w:lineRule="auto"/>
        <w:ind w:left="706" w:right="114"/>
        <w:rPr>
          <w:sz w:val="21"/>
        </w:rPr>
      </w:pPr>
      <w:r>
        <w:rPr>
          <w:i/>
          <w:sz w:val="21"/>
        </w:rPr>
        <w:t>‘When prioritising research to fill the gaps and selecting the most appropriate valuation method for the task (whether it’s one that uses money as a metric or something else), it is important to carefully specify the type of information required</w:t>
      </w:r>
      <w:r>
        <w:rPr>
          <w:sz w:val="21"/>
        </w:rPr>
        <w:t xml:space="preserve">: who needs the information?, on what?, and why?. </w:t>
      </w:r>
      <w:r>
        <w:rPr>
          <w:i/>
          <w:sz w:val="21"/>
        </w:rPr>
        <w:t xml:space="preserve">When asked by different stakeholders, these questions may require the use of different valuation methods. This is because different stakeholders will likely prioritise the assessment of different benefits, and different benefits require different assessment techniques.’ </w:t>
      </w:r>
      <w:r>
        <w:rPr>
          <w:sz w:val="21"/>
        </w:rPr>
        <w:t xml:space="preserve">(Farr </w:t>
      </w:r>
      <w:r>
        <w:rPr>
          <w:i/>
          <w:sz w:val="21"/>
        </w:rPr>
        <w:t xml:space="preserve">et al, </w:t>
      </w:r>
      <w:r>
        <w:rPr>
          <w:sz w:val="21"/>
        </w:rPr>
        <w:t>2016:1,</w:t>
      </w:r>
      <w:r>
        <w:rPr>
          <w:spacing w:val="-13"/>
          <w:sz w:val="21"/>
        </w:rPr>
        <w:t xml:space="preserve"> </w:t>
      </w:r>
      <w:r>
        <w:rPr>
          <w:sz w:val="21"/>
        </w:rPr>
        <w:t>37).</w:t>
      </w:r>
    </w:p>
    <w:p w14:paraId="289C348B" w14:textId="77777777" w:rsidR="005A7F14" w:rsidRDefault="0031751E">
      <w:pPr>
        <w:pStyle w:val="BodyText"/>
        <w:spacing w:before="120" w:line="259" w:lineRule="auto"/>
        <w:ind w:right="141"/>
      </w:pPr>
      <w:r>
        <w:t>The research on research priorities for IPAs across Northern Australia has informed two other projects by the NAER Hub:</w:t>
      </w:r>
    </w:p>
    <w:p w14:paraId="0B98726B" w14:textId="77777777" w:rsidR="005A7F14" w:rsidRDefault="0031751E">
      <w:pPr>
        <w:pStyle w:val="ListParagraph"/>
        <w:numPr>
          <w:ilvl w:val="0"/>
          <w:numId w:val="3"/>
        </w:numPr>
        <w:tabs>
          <w:tab w:val="left" w:pos="860"/>
          <w:tab w:val="left" w:pos="861"/>
        </w:tabs>
        <w:spacing w:before="118" w:line="259" w:lineRule="auto"/>
        <w:ind w:right="260"/>
        <w:rPr>
          <w:sz w:val="21"/>
        </w:rPr>
      </w:pPr>
      <w:r>
        <w:rPr>
          <w:sz w:val="21"/>
        </w:rPr>
        <w:t xml:space="preserve">‘Multiple benefits and knowledge systems of Indigenous land management </w:t>
      </w:r>
      <w:proofErr w:type="gramStart"/>
      <w:r>
        <w:rPr>
          <w:sz w:val="21"/>
        </w:rPr>
        <w:t>programs‘ (</w:t>
      </w:r>
      <w:proofErr w:type="gramEnd"/>
      <w:r>
        <w:rPr>
          <w:sz w:val="21"/>
        </w:rPr>
        <w:t xml:space="preserve">Project 5.3), which examined quantifiable and comparable information about local to national scale socio- economic and </w:t>
      </w:r>
      <w:proofErr w:type="spellStart"/>
      <w:r>
        <w:rPr>
          <w:sz w:val="21"/>
        </w:rPr>
        <w:t>well being</w:t>
      </w:r>
      <w:proofErr w:type="spellEnd"/>
      <w:r>
        <w:rPr>
          <w:sz w:val="21"/>
        </w:rPr>
        <w:t xml:space="preserve"> benefits associated with Indigenous land and sea management</w:t>
      </w:r>
      <w:r>
        <w:rPr>
          <w:spacing w:val="-27"/>
          <w:sz w:val="21"/>
        </w:rPr>
        <w:t xml:space="preserve"> </w:t>
      </w:r>
      <w:r>
        <w:rPr>
          <w:sz w:val="21"/>
        </w:rPr>
        <w:t>programs.</w:t>
      </w:r>
    </w:p>
    <w:p w14:paraId="726A3601" w14:textId="77777777" w:rsidR="005A7F14" w:rsidRDefault="0031751E">
      <w:pPr>
        <w:pStyle w:val="ListParagraph"/>
        <w:numPr>
          <w:ilvl w:val="0"/>
          <w:numId w:val="3"/>
        </w:numPr>
        <w:tabs>
          <w:tab w:val="left" w:pos="860"/>
          <w:tab w:val="left" w:pos="861"/>
        </w:tabs>
        <w:spacing w:before="1" w:line="259" w:lineRule="auto"/>
        <w:ind w:right="178"/>
        <w:rPr>
          <w:i/>
          <w:sz w:val="21"/>
        </w:rPr>
      </w:pPr>
      <w:r>
        <w:rPr>
          <w:sz w:val="21"/>
        </w:rPr>
        <w:t xml:space="preserve">‘Knowledge brokering for Indigenous land management’ (Project 5.4) which has involved Indigenous peoples as co-researchers to develop tools that are assisting them to identify useful knowledge resources and explore ways they can use different types of knowledge for decision-making. One significant product of this project is the Best Practice Guidelines from Australian Experiences: </w:t>
      </w:r>
      <w:r>
        <w:rPr>
          <w:i/>
          <w:sz w:val="21"/>
        </w:rPr>
        <w:t>Our Knowledge Our Way in Caring for Country. Indigenous-led approaches to strengthening and sharing our knowledge for land and sea</w:t>
      </w:r>
      <w:r>
        <w:rPr>
          <w:i/>
          <w:spacing w:val="-4"/>
          <w:sz w:val="21"/>
        </w:rPr>
        <w:t xml:space="preserve"> </w:t>
      </w:r>
      <w:r>
        <w:rPr>
          <w:i/>
          <w:sz w:val="21"/>
        </w:rPr>
        <w:t xml:space="preserve">management. </w:t>
      </w:r>
    </w:p>
    <w:p w14:paraId="6FA6BAF9" w14:textId="77777777" w:rsidR="005A7F14" w:rsidRDefault="005A7F14">
      <w:pPr>
        <w:pStyle w:val="BodyText"/>
        <w:spacing w:before="5"/>
        <w:ind w:left="0"/>
        <w:rPr>
          <w:i/>
          <w:sz w:val="19"/>
        </w:rPr>
      </w:pPr>
    </w:p>
    <w:p w14:paraId="6A5FD0F9" w14:textId="77777777" w:rsidR="005A7F14" w:rsidRPr="005D0CA2" w:rsidRDefault="0031751E">
      <w:pPr>
        <w:pStyle w:val="Heading1"/>
        <w:numPr>
          <w:ilvl w:val="1"/>
          <w:numId w:val="6"/>
        </w:numPr>
        <w:tabs>
          <w:tab w:val="left" w:pos="860"/>
          <w:tab w:val="left" w:pos="861"/>
        </w:tabs>
        <w:spacing w:before="1"/>
        <w:ind w:hanging="721"/>
        <w:rPr>
          <w:b/>
          <w:bCs/>
        </w:rPr>
      </w:pPr>
      <w:r w:rsidRPr="005D0CA2">
        <w:rPr>
          <w:b/>
          <w:bCs/>
        </w:rPr>
        <w:t>IPA Management</w:t>
      </w:r>
      <w:r w:rsidRPr="005D0CA2">
        <w:rPr>
          <w:b/>
          <w:bCs/>
          <w:spacing w:val="-3"/>
        </w:rPr>
        <w:t xml:space="preserve"> </w:t>
      </w:r>
      <w:r w:rsidRPr="005D0CA2">
        <w:rPr>
          <w:b/>
          <w:bCs/>
        </w:rPr>
        <w:t>Plans</w:t>
      </w:r>
    </w:p>
    <w:p w14:paraId="78E0DDA9" w14:textId="77777777" w:rsidR="005A7F14" w:rsidRDefault="0031751E">
      <w:pPr>
        <w:pStyle w:val="BodyText"/>
        <w:spacing w:before="147" w:line="259" w:lineRule="auto"/>
        <w:ind w:right="348"/>
      </w:pPr>
      <w:r>
        <w:t xml:space="preserve">The recognition of an IPA by the Australian Government is a response to a declaration process initiated by the Traditional Owners (TOs) and/or custodians. The declaration is preceded by consultation with the relevant TOs and/or custodians and ‘participatory planning under community control and decision making’ (Hill </w:t>
      </w:r>
      <w:r>
        <w:rPr>
          <w:i/>
        </w:rPr>
        <w:t>et al</w:t>
      </w:r>
      <w:r>
        <w:t>, 2011:4). The declaration is then recognised by the Australian Government based on a Management Plan that has been endorsed by the relevant TOs/custodians.</w:t>
      </w:r>
    </w:p>
    <w:p w14:paraId="65A48A3D" w14:textId="77777777" w:rsidR="005A7F14" w:rsidRDefault="0031751E">
      <w:pPr>
        <w:pStyle w:val="BodyText"/>
        <w:spacing w:before="118" w:line="259" w:lineRule="auto"/>
        <w:ind w:right="149"/>
        <w:jc w:val="both"/>
      </w:pPr>
      <w:r>
        <w:t>Most IPA Management Plans are based on a management approach consistent with the IUCN Protected Area Management Category. As Hill (</w:t>
      </w:r>
      <w:r>
        <w:rPr>
          <w:i/>
        </w:rPr>
        <w:t>et al</w:t>
      </w:r>
      <w:r>
        <w:t>, 2011:4) notes, ‘An IPA declaration also depends on assurances that the “right people” that can speak for that Country have been given an opportunity to make free, prior and</w:t>
      </w:r>
    </w:p>
    <w:p w14:paraId="74582B16" w14:textId="77777777" w:rsidR="005A7F14" w:rsidRDefault="0031751E">
      <w:pPr>
        <w:pStyle w:val="BodyText"/>
        <w:jc w:val="both"/>
      </w:pPr>
      <w:r>
        <w:t>informed consent’. TO communities invest considerable time and effort in preparing their IPA management</w:t>
      </w:r>
    </w:p>
    <w:p w14:paraId="7579DE87" w14:textId="77777777" w:rsidR="005A7F14" w:rsidRDefault="0031751E">
      <w:pPr>
        <w:pStyle w:val="BodyText"/>
        <w:spacing w:before="22"/>
        <w:jc w:val="both"/>
      </w:pPr>
      <w:r>
        <w:t>plans because they will be responsible for the management of the IPA once the declaration is made.</w:t>
      </w:r>
    </w:p>
    <w:p w14:paraId="5F5AE4D7" w14:textId="77777777" w:rsidR="005A7F14" w:rsidRDefault="0031751E">
      <w:pPr>
        <w:pStyle w:val="BodyText"/>
        <w:spacing w:before="140" w:line="259" w:lineRule="auto"/>
        <w:ind w:right="138"/>
        <w:jc w:val="both"/>
      </w:pPr>
      <w:r>
        <w:t>IPA Management Plans therefore carry considerable authenticity from the Traditional Owners when it comes to identifying how an IPA place is to be managed, what the threats are and what the research priorities might be for that area.</w:t>
      </w:r>
    </w:p>
    <w:p w14:paraId="3D09F96D" w14:textId="77777777" w:rsidR="005A7F14" w:rsidRDefault="0031751E">
      <w:pPr>
        <w:pStyle w:val="BodyText"/>
        <w:spacing w:before="120" w:line="259" w:lineRule="auto"/>
        <w:ind w:right="296"/>
        <w:jc w:val="both"/>
      </w:pPr>
      <w:r>
        <w:t>Some excellent Guidelines already exist to help IPA managers develop plans based on the western scientific planning approach. Including for example:</w:t>
      </w:r>
    </w:p>
    <w:p w14:paraId="42B2A4F6" w14:textId="77777777" w:rsidR="005A7F14" w:rsidRDefault="0031751E">
      <w:pPr>
        <w:pStyle w:val="ListParagraph"/>
        <w:numPr>
          <w:ilvl w:val="0"/>
          <w:numId w:val="2"/>
        </w:numPr>
        <w:tabs>
          <w:tab w:val="left" w:pos="836"/>
          <w:tab w:val="left" w:pos="837"/>
        </w:tabs>
        <w:spacing w:before="119"/>
        <w:rPr>
          <w:sz w:val="21"/>
        </w:rPr>
      </w:pPr>
      <w:r>
        <w:rPr>
          <w:i/>
          <w:sz w:val="21"/>
        </w:rPr>
        <w:t xml:space="preserve">Guidelines for Management Planning of Protected Areas </w:t>
      </w:r>
      <w:r>
        <w:rPr>
          <w:sz w:val="21"/>
        </w:rPr>
        <w:t>(IUCN,</w:t>
      </w:r>
      <w:r>
        <w:rPr>
          <w:spacing w:val="-9"/>
          <w:sz w:val="21"/>
        </w:rPr>
        <w:t xml:space="preserve"> </w:t>
      </w:r>
      <w:r>
        <w:rPr>
          <w:sz w:val="21"/>
        </w:rPr>
        <w:t>2003</w:t>
      </w:r>
      <w:proofErr w:type="gramStart"/>
      <w:r>
        <w:rPr>
          <w:sz w:val="21"/>
        </w:rPr>
        <w:t>);</w:t>
      </w:r>
      <w:proofErr w:type="gramEnd"/>
    </w:p>
    <w:p w14:paraId="5A6F4D74" w14:textId="77777777" w:rsidR="005A7F14" w:rsidRDefault="0031751E">
      <w:pPr>
        <w:pStyle w:val="ListParagraph"/>
        <w:numPr>
          <w:ilvl w:val="0"/>
          <w:numId w:val="2"/>
        </w:numPr>
        <w:tabs>
          <w:tab w:val="left" w:pos="836"/>
          <w:tab w:val="left" w:pos="837"/>
        </w:tabs>
        <w:spacing w:before="19"/>
        <w:rPr>
          <w:sz w:val="21"/>
        </w:rPr>
      </w:pPr>
      <w:r>
        <w:rPr>
          <w:i/>
          <w:sz w:val="21"/>
        </w:rPr>
        <w:t xml:space="preserve">Guidelines for Applying Protected Area Management Categories </w:t>
      </w:r>
      <w:r>
        <w:rPr>
          <w:sz w:val="21"/>
        </w:rPr>
        <w:t>(IUCN,</w:t>
      </w:r>
      <w:r>
        <w:rPr>
          <w:spacing w:val="-5"/>
          <w:sz w:val="21"/>
        </w:rPr>
        <w:t xml:space="preserve"> </w:t>
      </w:r>
      <w:r>
        <w:rPr>
          <w:sz w:val="21"/>
        </w:rPr>
        <w:t>2013).</w:t>
      </w:r>
    </w:p>
    <w:p w14:paraId="7AFB3E0B" w14:textId="77777777" w:rsidR="005A7F14" w:rsidRDefault="0031751E">
      <w:pPr>
        <w:pStyle w:val="ListParagraph"/>
        <w:numPr>
          <w:ilvl w:val="0"/>
          <w:numId w:val="2"/>
        </w:numPr>
        <w:tabs>
          <w:tab w:val="left" w:pos="836"/>
          <w:tab w:val="left" w:pos="837"/>
        </w:tabs>
        <w:spacing w:before="22"/>
        <w:rPr>
          <w:sz w:val="21"/>
        </w:rPr>
      </w:pPr>
      <w:r>
        <w:rPr>
          <w:i/>
          <w:sz w:val="21"/>
        </w:rPr>
        <w:t xml:space="preserve">Australian Guidelines for Establishing the National Reserve System </w:t>
      </w:r>
      <w:r>
        <w:rPr>
          <w:sz w:val="21"/>
        </w:rPr>
        <w:t>(CofA,</w:t>
      </w:r>
      <w:r>
        <w:rPr>
          <w:spacing w:val="-6"/>
          <w:sz w:val="21"/>
        </w:rPr>
        <w:t xml:space="preserve"> </w:t>
      </w:r>
      <w:r>
        <w:rPr>
          <w:sz w:val="21"/>
        </w:rPr>
        <w:t>1999</w:t>
      </w:r>
      <w:proofErr w:type="gramStart"/>
      <w:r>
        <w:rPr>
          <w:sz w:val="21"/>
        </w:rPr>
        <w:t>);</w:t>
      </w:r>
      <w:proofErr w:type="gramEnd"/>
    </w:p>
    <w:p w14:paraId="13882336" w14:textId="77777777" w:rsidR="005A7F14" w:rsidRDefault="0031751E">
      <w:pPr>
        <w:pStyle w:val="ListParagraph"/>
        <w:numPr>
          <w:ilvl w:val="0"/>
          <w:numId w:val="2"/>
        </w:numPr>
        <w:tabs>
          <w:tab w:val="left" w:pos="836"/>
          <w:tab w:val="left" w:pos="837"/>
        </w:tabs>
        <w:spacing w:before="20"/>
        <w:rPr>
          <w:sz w:val="21"/>
        </w:rPr>
      </w:pPr>
      <w:r>
        <w:rPr>
          <w:i/>
          <w:sz w:val="21"/>
        </w:rPr>
        <w:t>Open Standards for the Practice of Conservation</w:t>
      </w:r>
      <w:r>
        <w:rPr>
          <w:sz w:val="21"/>
        </w:rPr>
        <w:t>. (CMP,</w:t>
      </w:r>
      <w:r>
        <w:rPr>
          <w:spacing w:val="-8"/>
          <w:sz w:val="21"/>
        </w:rPr>
        <w:t xml:space="preserve"> </w:t>
      </w:r>
      <w:r>
        <w:rPr>
          <w:sz w:val="21"/>
        </w:rPr>
        <w:t>2013).</w:t>
      </w:r>
    </w:p>
    <w:p w14:paraId="68BB81CB" w14:textId="77777777" w:rsidR="005A7F14" w:rsidRDefault="0031751E">
      <w:pPr>
        <w:pStyle w:val="BodyText"/>
        <w:spacing w:before="140" w:line="259" w:lineRule="auto"/>
        <w:ind w:right="302"/>
      </w:pPr>
      <w:r>
        <w:t>These existing Guidelines contain material that is both highly useful and important for IPA managers. However, using these Guidelines alone tends to produce plans that are based on western science and fall short of the potential to present the unique cultural settings and the vibrant Indigenous management strategies on Country and a synthesis between the application of Indigenous knowledge alongside Western</w:t>
      </w:r>
    </w:p>
    <w:p w14:paraId="7C6F24E8" w14:textId="77777777" w:rsidR="005A7F14" w:rsidRDefault="005A7F14">
      <w:pPr>
        <w:spacing w:line="259" w:lineRule="auto"/>
        <w:sectPr w:rsidR="005A7F14">
          <w:pgSz w:w="11910" w:h="16840"/>
          <w:pgMar w:top="1360" w:right="1000" w:bottom="940" w:left="1420" w:header="0" w:footer="747" w:gutter="0"/>
          <w:cols w:space="720"/>
        </w:sectPr>
      </w:pPr>
    </w:p>
    <w:p w14:paraId="4EE7C228" w14:textId="77777777" w:rsidR="005A7F14" w:rsidRDefault="0031751E">
      <w:pPr>
        <w:pStyle w:val="BodyText"/>
        <w:spacing w:before="41" w:line="259" w:lineRule="auto"/>
        <w:ind w:right="217"/>
      </w:pPr>
      <w:r>
        <w:lastRenderedPageBreak/>
        <w:t xml:space="preserve">science. The co-design and co-production of environmental and climate science research projects is discussed in more detail in </w:t>
      </w:r>
      <w:r w:rsidRPr="00E56D12">
        <w:rPr>
          <w:b/>
          <w:bCs/>
        </w:rPr>
        <w:t>Chapter 7</w:t>
      </w:r>
      <w:r>
        <w:t>.</w:t>
      </w:r>
    </w:p>
    <w:p w14:paraId="2C104556" w14:textId="77777777" w:rsidR="005A7F14" w:rsidRDefault="00C535E9">
      <w:pPr>
        <w:pStyle w:val="BodyText"/>
        <w:spacing w:before="119" w:line="259" w:lineRule="auto"/>
        <w:ind w:right="157"/>
      </w:pPr>
      <w:r>
        <w:pict w14:anchorId="416032FF">
          <v:group id="_x0000_s1027" style="position:absolute;left:0;text-align:left;margin-left:165.8pt;margin-top:81.8pt;width:285pt;height:280.55pt;z-index:-15728128;mso-wrap-distance-left:0;mso-wrap-distance-right:0;mso-position-horizontal-relative:page" coordorigin="3316,1636" coordsize="5700,5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331;top:1650;width:5670;height:5581">
              <v:imagedata r:id="rId9" o:title=""/>
            </v:shape>
            <v:rect id="_x0000_s1028" style="position:absolute;left:3323;top:1643;width:5685;height:5596" filled="f"/>
            <w10:wrap type="topAndBottom" anchorx="page"/>
          </v:group>
        </w:pict>
      </w:r>
      <w:r w:rsidR="0031751E">
        <w:t xml:space="preserve">In 2011, CSIRO in collaboration with IPA managers, traditional owners, Australian Government Indigenous Protected Area section staff (within the Department) researchers in the CSIRO, an Independent Indigenous Consultant, and other Consultants who have worked on IPA Management Plans, undertook the development of a set of guidelines for the preparation of IPA Management Plans, titled </w:t>
      </w:r>
      <w:r w:rsidR="0031751E">
        <w:rPr>
          <w:i/>
        </w:rPr>
        <w:t xml:space="preserve">Our Country Our Way </w:t>
      </w:r>
      <w:r w:rsidR="0031751E">
        <w:t xml:space="preserve">(Hill </w:t>
      </w:r>
      <w:r w:rsidR="0031751E">
        <w:rPr>
          <w:i/>
        </w:rPr>
        <w:t xml:space="preserve">et al, </w:t>
      </w:r>
      <w:r w:rsidR="0031751E">
        <w:t xml:space="preserve">2011) (See </w:t>
      </w:r>
      <w:hyperlink w:anchor="_bookmark1" w:history="1">
        <w:r w:rsidR="0031751E" w:rsidRPr="00E56D12">
          <w:rPr>
            <w:b/>
            <w:bCs/>
          </w:rPr>
          <w:t>Figure 6.2</w:t>
        </w:r>
      </w:hyperlink>
      <w:r w:rsidR="0031751E">
        <w:t>).</w:t>
      </w:r>
    </w:p>
    <w:p w14:paraId="0740AEB1" w14:textId="77777777" w:rsidR="005A7F14" w:rsidRPr="00F93B3D" w:rsidRDefault="0031751E">
      <w:pPr>
        <w:pStyle w:val="BodyText"/>
        <w:spacing w:before="127"/>
        <w:rPr>
          <w:b/>
          <w:bCs/>
        </w:rPr>
      </w:pPr>
      <w:bookmarkStart w:id="1" w:name="_bookmark1"/>
      <w:bookmarkEnd w:id="1"/>
      <w:r w:rsidRPr="00F93B3D">
        <w:rPr>
          <w:b/>
          <w:bCs/>
          <w:color w:val="404040"/>
        </w:rPr>
        <w:t>Figure 6.2: Purpose and Background to Our Country Our Way Guidelines</w:t>
      </w:r>
    </w:p>
    <w:p w14:paraId="577A637D" w14:textId="77777777" w:rsidR="005A7F14" w:rsidRDefault="0031751E">
      <w:pPr>
        <w:spacing w:before="140"/>
        <w:ind w:left="140"/>
        <w:rPr>
          <w:sz w:val="18"/>
        </w:rPr>
      </w:pPr>
      <w:r>
        <w:rPr>
          <w:color w:val="585858"/>
          <w:sz w:val="18"/>
        </w:rPr>
        <w:t xml:space="preserve">Source: Hill </w:t>
      </w:r>
      <w:r>
        <w:rPr>
          <w:i/>
          <w:color w:val="585858"/>
          <w:sz w:val="18"/>
        </w:rPr>
        <w:t xml:space="preserve">et al </w:t>
      </w:r>
      <w:r>
        <w:rPr>
          <w:color w:val="585858"/>
          <w:sz w:val="18"/>
        </w:rPr>
        <w:t>2011:4</w:t>
      </w:r>
    </w:p>
    <w:p w14:paraId="0D478C2D" w14:textId="77777777" w:rsidR="005A7F14" w:rsidRDefault="0031751E">
      <w:pPr>
        <w:pStyle w:val="BodyText"/>
        <w:spacing w:before="138" w:line="259" w:lineRule="auto"/>
        <w:ind w:right="319"/>
      </w:pPr>
      <w:r>
        <w:rPr>
          <w:i/>
        </w:rPr>
        <w:t xml:space="preserve">Our Country Our Way </w:t>
      </w:r>
      <w:r>
        <w:t xml:space="preserve">(Hill </w:t>
      </w:r>
      <w:r>
        <w:rPr>
          <w:i/>
        </w:rPr>
        <w:t xml:space="preserve">et al, </w:t>
      </w:r>
      <w:r>
        <w:t xml:space="preserve">2011) was developed to sit alongside the existing Guidelines listed above. The purpose of the </w:t>
      </w:r>
      <w:r>
        <w:rPr>
          <w:i/>
        </w:rPr>
        <w:t xml:space="preserve">Our Country Our Way </w:t>
      </w:r>
      <w:r>
        <w:t xml:space="preserve">guidelines is to assist IPA owners, custodians and managers, including those involved in co-management projects, to produce Management Plans that ensure outcomes of value to both Indigenous peoples and the Australian nation (Hill </w:t>
      </w:r>
      <w:r>
        <w:rPr>
          <w:i/>
        </w:rPr>
        <w:t xml:space="preserve">et al, </w:t>
      </w:r>
      <w:r>
        <w:t>2011).</w:t>
      </w:r>
    </w:p>
    <w:p w14:paraId="0CD9650E" w14:textId="77777777" w:rsidR="005A7F14" w:rsidRDefault="0031751E">
      <w:pPr>
        <w:pStyle w:val="BodyText"/>
        <w:spacing w:before="119" w:line="259" w:lineRule="auto"/>
        <w:ind w:right="217"/>
      </w:pPr>
      <w:r>
        <w:t>IPA Management Plans therefore bring together management based on connections between Indigenous people, Country, traditional law, custom and culture with the Australian and international systems for protected area management. IPA Management Plans are most effective if they ensure Indigenous peoples drive and determine how these requirements will be met.</w:t>
      </w:r>
    </w:p>
    <w:p w14:paraId="0B06813D" w14:textId="77777777" w:rsidR="005A7F14" w:rsidRDefault="0031751E">
      <w:pPr>
        <w:pStyle w:val="BodyText"/>
        <w:spacing w:before="119" w:line="259" w:lineRule="auto"/>
        <w:ind w:right="210"/>
      </w:pPr>
      <w:r>
        <w:t xml:space="preserve">With the assistance of the Department of Agriculture, </w:t>
      </w:r>
      <w:proofErr w:type="gramStart"/>
      <w:r>
        <w:t>Water</w:t>
      </w:r>
      <w:proofErr w:type="gramEnd"/>
      <w:r>
        <w:t xml:space="preserve"> and the Environment, SGS Economics and Planning was able to locate Management Plans for 49 of the current 76 declared IPAs. SGS Economics and Planning subsequently examined each of those Management Plans plus seven (7) other Management Plans prepared for specific places by TOs/Custodians, to ascertain the extent to which they identify environmental and climate science research priorities.</w:t>
      </w:r>
    </w:p>
    <w:p w14:paraId="1398A8A7" w14:textId="77777777" w:rsidR="005A7F14" w:rsidRDefault="005A7F14">
      <w:pPr>
        <w:pStyle w:val="BodyText"/>
        <w:spacing w:before="9"/>
        <w:ind w:left="0"/>
        <w:rPr>
          <w:sz w:val="19"/>
        </w:rPr>
      </w:pPr>
    </w:p>
    <w:p w14:paraId="628AB794" w14:textId="77777777" w:rsidR="005A7F14" w:rsidRPr="005D0CA2" w:rsidRDefault="0031751E">
      <w:pPr>
        <w:pStyle w:val="Heading1"/>
        <w:numPr>
          <w:ilvl w:val="1"/>
          <w:numId w:val="6"/>
        </w:numPr>
        <w:tabs>
          <w:tab w:val="left" w:pos="860"/>
          <w:tab w:val="left" w:pos="861"/>
        </w:tabs>
        <w:ind w:hanging="721"/>
        <w:rPr>
          <w:b/>
          <w:bCs/>
        </w:rPr>
      </w:pPr>
      <w:r w:rsidRPr="005D0CA2">
        <w:rPr>
          <w:b/>
          <w:bCs/>
        </w:rPr>
        <w:t>Analysis of IPA Management</w:t>
      </w:r>
      <w:r w:rsidRPr="005D0CA2">
        <w:rPr>
          <w:b/>
          <w:bCs/>
          <w:spacing w:val="-1"/>
        </w:rPr>
        <w:t xml:space="preserve"> </w:t>
      </w:r>
      <w:r w:rsidRPr="005D0CA2">
        <w:rPr>
          <w:b/>
          <w:bCs/>
        </w:rPr>
        <w:t>Plans</w:t>
      </w:r>
    </w:p>
    <w:p w14:paraId="7EB18958" w14:textId="77777777" w:rsidR="005A7F14" w:rsidRDefault="0031751E">
      <w:pPr>
        <w:pStyle w:val="BodyText"/>
        <w:spacing w:before="145" w:line="259" w:lineRule="auto"/>
        <w:ind w:right="210"/>
      </w:pPr>
      <w:r>
        <w:t>To better inform our understanding of what Indigenous environmental and climate science research themes and questions might be, we turned to the IPA Management Plans and developed a spreadsheet with the following analysis:</w:t>
      </w:r>
    </w:p>
    <w:p w14:paraId="7BEEFA56" w14:textId="77777777" w:rsidR="005A7F14" w:rsidRDefault="005A7F14">
      <w:pPr>
        <w:spacing w:line="259" w:lineRule="auto"/>
        <w:sectPr w:rsidR="005A7F14">
          <w:pgSz w:w="11910" w:h="16840"/>
          <w:pgMar w:top="1360" w:right="1000" w:bottom="940" w:left="1420" w:header="0" w:footer="747" w:gutter="0"/>
          <w:cols w:space="720"/>
        </w:sectPr>
      </w:pPr>
    </w:p>
    <w:p w14:paraId="1A06C1BC" w14:textId="77777777" w:rsidR="005A7F14" w:rsidRDefault="0031751E">
      <w:pPr>
        <w:pStyle w:val="ListParagraph"/>
        <w:numPr>
          <w:ilvl w:val="2"/>
          <w:numId w:val="6"/>
        </w:numPr>
        <w:tabs>
          <w:tab w:val="left" w:pos="860"/>
          <w:tab w:val="left" w:pos="861"/>
        </w:tabs>
        <w:spacing w:before="41"/>
        <w:ind w:hanging="361"/>
        <w:rPr>
          <w:sz w:val="21"/>
        </w:rPr>
      </w:pPr>
      <w:r>
        <w:rPr>
          <w:sz w:val="21"/>
        </w:rPr>
        <w:lastRenderedPageBreak/>
        <w:t>IPA No.</w:t>
      </w:r>
    </w:p>
    <w:p w14:paraId="104312F4" w14:textId="77777777" w:rsidR="005A7F14" w:rsidRDefault="0031751E">
      <w:pPr>
        <w:pStyle w:val="ListParagraph"/>
        <w:numPr>
          <w:ilvl w:val="2"/>
          <w:numId w:val="6"/>
        </w:numPr>
        <w:tabs>
          <w:tab w:val="left" w:pos="860"/>
          <w:tab w:val="left" w:pos="861"/>
        </w:tabs>
        <w:spacing w:before="20"/>
        <w:ind w:hanging="361"/>
        <w:rPr>
          <w:sz w:val="21"/>
        </w:rPr>
      </w:pPr>
      <w:r>
        <w:rPr>
          <w:sz w:val="21"/>
        </w:rPr>
        <w:t>IPA Name</w:t>
      </w:r>
    </w:p>
    <w:p w14:paraId="783AE351" w14:textId="77777777" w:rsidR="005A7F14" w:rsidRDefault="0031751E">
      <w:pPr>
        <w:pStyle w:val="ListParagraph"/>
        <w:numPr>
          <w:ilvl w:val="2"/>
          <w:numId w:val="6"/>
        </w:numPr>
        <w:tabs>
          <w:tab w:val="left" w:pos="860"/>
          <w:tab w:val="left" w:pos="861"/>
        </w:tabs>
        <w:spacing w:before="20"/>
        <w:ind w:hanging="361"/>
        <w:rPr>
          <w:sz w:val="21"/>
        </w:rPr>
      </w:pPr>
      <w:r>
        <w:rPr>
          <w:sz w:val="21"/>
        </w:rPr>
        <w:t>State/Territory</w:t>
      </w:r>
    </w:p>
    <w:p w14:paraId="062FA1FA" w14:textId="77777777" w:rsidR="005A7F14" w:rsidRDefault="0031751E">
      <w:pPr>
        <w:pStyle w:val="ListParagraph"/>
        <w:numPr>
          <w:ilvl w:val="2"/>
          <w:numId w:val="6"/>
        </w:numPr>
        <w:tabs>
          <w:tab w:val="left" w:pos="860"/>
          <w:tab w:val="left" w:pos="861"/>
        </w:tabs>
        <w:spacing w:before="22"/>
        <w:ind w:hanging="361"/>
        <w:rPr>
          <w:sz w:val="21"/>
        </w:rPr>
      </w:pPr>
      <w:proofErr w:type="spellStart"/>
      <w:r>
        <w:rPr>
          <w:sz w:val="21"/>
        </w:rPr>
        <w:t>BioRegion</w:t>
      </w:r>
      <w:proofErr w:type="spellEnd"/>
    </w:p>
    <w:p w14:paraId="6C65978F" w14:textId="77777777" w:rsidR="005A7F14" w:rsidRDefault="0031751E">
      <w:pPr>
        <w:pStyle w:val="ListParagraph"/>
        <w:numPr>
          <w:ilvl w:val="2"/>
          <w:numId w:val="6"/>
        </w:numPr>
        <w:tabs>
          <w:tab w:val="left" w:pos="860"/>
          <w:tab w:val="left" w:pos="861"/>
        </w:tabs>
        <w:spacing w:before="20"/>
        <w:ind w:hanging="361"/>
        <w:rPr>
          <w:sz w:val="21"/>
        </w:rPr>
      </w:pPr>
      <w:r>
        <w:rPr>
          <w:sz w:val="21"/>
        </w:rPr>
        <w:t>NRM</w:t>
      </w:r>
      <w:r>
        <w:rPr>
          <w:spacing w:val="-2"/>
          <w:sz w:val="21"/>
        </w:rPr>
        <w:t xml:space="preserve"> </w:t>
      </w:r>
      <w:r>
        <w:rPr>
          <w:sz w:val="21"/>
        </w:rPr>
        <w:t>Region</w:t>
      </w:r>
    </w:p>
    <w:p w14:paraId="10743B71" w14:textId="77777777" w:rsidR="005A7F14" w:rsidRDefault="0031751E">
      <w:pPr>
        <w:pStyle w:val="ListParagraph"/>
        <w:numPr>
          <w:ilvl w:val="2"/>
          <w:numId w:val="6"/>
        </w:numPr>
        <w:tabs>
          <w:tab w:val="left" w:pos="860"/>
          <w:tab w:val="left" w:pos="861"/>
        </w:tabs>
        <w:spacing w:before="19"/>
        <w:ind w:hanging="361"/>
        <w:rPr>
          <w:sz w:val="21"/>
        </w:rPr>
      </w:pPr>
      <w:r>
        <w:rPr>
          <w:sz w:val="21"/>
        </w:rPr>
        <w:t>Source</w:t>
      </w:r>
      <w:r>
        <w:rPr>
          <w:spacing w:val="-1"/>
          <w:sz w:val="21"/>
        </w:rPr>
        <w:t xml:space="preserve"> </w:t>
      </w:r>
      <w:r>
        <w:rPr>
          <w:sz w:val="21"/>
        </w:rPr>
        <w:t>Agency</w:t>
      </w:r>
    </w:p>
    <w:p w14:paraId="56192681" w14:textId="77777777" w:rsidR="005A7F14" w:rsidRDefault="0031751E">
      <w:pPr>
        <w:pStyle w:val="ListParagraph"/>
        <w:numPr>
          <w:ilvl w:val="2"/>
          <w:numId w:val="6"/>
        </w:numPr>
        <w:tabs>
          <w:tab w:val="left" w:pos="860"/>
          <w:tab w:val="left" w:pos="861"/>
        </w:tabs>
        <w:spacing w:before="20"/>
        <w:ind w:hanging="361"/>
        <w:rPr>
          <w:sz w:val="21"/>
        </w:rPr>
      </w:pPr>
      <w:r>
        <w:rPr>
          <w:sz w:val="21"/>
        </w:rPr>
        <w:t>Management Plan and</w:t>
      </w:r>
      <w:r>
        <w:rPr>
          <w:spacing w:val="-1"/>
          <w:sz w:val="21"/>
        </w:rPr>
        <w:t xml:space="preserve"> </w:t>
      </w:r>
      <w:r>
        <w:rPr>
          <w:sz w:val="21"/>
        </w:rPr>
        <w:t>Date</w:t>
      </w:r>
    </w:p>
    <w:p w14:paraId="1DE71582" w14:textId="77777777" w:rsidR="005A7F14" w:rsidRDefault="0031751E">
      <w:pPr>
        <w:pStyle w:val="ListParagraph"/>
        <w:numPr>
          <w:ilvl w:val="2"/>
          <w:numId w:val="6"/>
        </w:numPr>
        <w:tabs>
          <w:tab w:val="left" w:pos="860"/>
          <w:tab w:val="left" w:pos="861"/>
        </w:tabs>
        <w:spacing w:before="22"/>
        <w:ind w:hanging="361"/>
        <w:rPr>
          <w:sz w:val="21"/>
        </w:rPr>
      </w:pPr>
      <w:r>
        <w:rPr>
          <w:sz w:val="21"/>
        </w:rPr>
        <w:t>Plan</w:t>
      </w:r>
      <w:r>
        <w:rPr>
          <w:spacing w:val="-2"/>
          <w:sz w:val="21"/>
        </w:rPr>
        <w:t xml:space="preserve"> </w:t>
      </w:r>
      <w:r>
        <w:rPr>
          <w:sz w:val="21"/>
        </w:rPr>
        <w:t>Type</w:t>
      </w:r>
    </w:p>
    <w:p w14:paraId="4530CC41" w14:textId="77777777" w:rsidR="005A7F14" w:rsidRDefault="0031751E">
      <w:pPr>
        <w:pStyle w:val="ListParagraph"/>
        <w:numPr>
          <w:ilvl w:val="2"/>
          <w:numId w:val="6"/>
        </w:numPr>
        <w:tabs>
          <w:tab w:val="left" w:pos="860"/>
          <w:tab w:val="left" w:pos="861"/>
        </w:tabs>
        <w:spacing w:before="20"/>
        <w:ind w:hanging="361"/>
        <w:rPr>
          <w:sz w:val="21"/>
        </w:rPr>
      </w:pPr>
      <w:r>
        <w:rPr>
          <w:sz w:val="21"/>
        </w:rPr>
        <w:t>Timespan of Management</w:t>
      </w:r>
      <w:r>
        <w:rPr>
          <w:spacing w:val="-5"/>
          <w:sz w:val="21"/>
        </w:rPr>
        <w:t xml:space="preserve"> </w:t>
      </w:r>
      <w:r>
        <w:rPr>
          <w:sz w:val="21"/>
        </w:rPr>
        <w:t>Plan</w:t>
      </w:r>
    </w:p>
    <w:p w14:paraId="7C18C402" w14:textId="77777777" w:rsidR="005A7F14" w:rsidRDefault="0031751E">
      <w:pPr>
        <w:pStyle w:val="ListParagraph"/>
        <w:numPr>
          <w:ilvl w:val="2"/>
          <w:numId w:val="6"/>
        </w:numPr>
        <w:tabs>
          <w:tab w:val="left" w:pos="860"/>
          <w:tab w:val="left" w:pos="861"/>
        </w:tabs>
        <w:spacing w:before="19"/>
        <w:ind w:hanging="361"/>
        <w:rPr>
          <w:sz w:val="21"/>
        </w:rPr>
      </w:pPr>
      <w:r>
        <w:rPr>
          <w:sz w:val="21"/>
        </w:rPr>
        <w:t>Threats</w:t>
      </w:r>
    </w:p>
    <w:p w14:paraId="5D247E3B" w14:textId="77777777" w:rsidR="005A7F14" w:rsidRDefault="0031751E">
      <w:pPr>
        <w:pStyle w:val="ListParagraph"/>
        <w:numPr>
          <w:ilvl w:val="2"/>
          <w:numId w:val="6"/>
        </w:numPr>
        <w:tabs>
          <w:tab w:val="left" w:pos="860"/>
          <w:tab w:val="left" w:pos="861"/>
        </w:tabs>
        <w:spacing w:before="22"/>
        <w:ind w:hanging="361"/>
        <w:rPr>
          <w:sz w:val="21"/>
        </w:rPr>
      </w:pPr>
      <w:r>
        <w:rPr>
          <w:sz w:val="21"/>
        </w:rPr>
        <w:t>Research</w:t>
      </w:r>
      <w:r>
        <w:rPr>
          <w:spacing w:val="-3"/>
          <w:sz w:val="21"/>
        </w:rPr>
        <w:t xml:space="preserve"> </w:t>
      </w:r>
      <w:r>
        <w:rPr>
          <w:sz w:val="21"/>
        </w:rPr>
        <w:t>Priorities</w:t>
      </w:r>
    </w:p>
    <w:p w14:paraId="5C0B80DD" w14:textId="77777777" w:rsidR="005A7F14" w:rsidRDefault="0031751E">
      <w:pPr>
        <w:pStyle w:val="ListParagraph"/>
        <w:numPr>
          <w:ilvl w:val="2"/>
          <w:numId w:val="6"/>
        </w:numPr>
        <w:tabs>
          <w:tab w:val="left" w:pos="860"/>
          <w:tab w:val="left" w:pos="861"/>
        </w:tabs>
        <w:spacing w:before="20" w:line="259" w:lineRule="auto"/>
        <w:ind w:right="775"/>
        <w:rPr>
          <w:sz w:val="21"/>
        </w:rPr>
      </w:pPr>
      <w:r>
        <w:rPr>
          <w:sz w:val="21"/>
        </w:rPr>
        <w:t>NESP 2 Research Hubs (Marine &amp; Coastal; Resilient Landscapes; Climate Systems; Sustainable Communities and Waste),</w:t>
      </w:r>
      <w:r>
        <w:rPr>
          <w:spacing w:val="-4"/>
          <w:sz w:val="21"/>
        </w:rPr>
        <w:t xml:space="preserve"> </w:t>
      </w:r>
      <w:r>
        <w:rPr>
          <w:sz w:val="21"/>
        </w:rPr>
        <w:t>and</w:t>
      </w:r>
    </w:p>
    <w:p w14:paraId="405B798C" w14:textId="77777777" w:rsidR="005A7F14" w:rsidRDefault="0031751E">
      <w:pPr>
        <w:pStyle w:val="ListParagraph"/>
        <w:numPr>
          <w:ilvl w:val="2"/>
          <w:numId w:val="6"/>
        </w:numPr>
        <w:tabs>
          <w:tab w:val="left" w:pos="860"/>
          <w:tab w:val="left" w:pos="861"/>
        </w:tabs>
        <w:spacing w:line="255" w:lineRule="exact"/>
        <w:ind w:hanging="361"/>
        <w:rPr>
          <w:sz w:val="21"/>
        </w:rPr>
      </w:pPr>
      <w:r>
        <w:rPr>
          <w:sz w:val="21"/>
        </w:rPr>
        <w:t>Website addresses where</w:t>
      </w:r>
      <w:r>
        <w:rPr>
          <w:spacing w:val="-1"/>
          <w:sz w:val="21"/>
        </w:rPr>
        <w:t xml:space="preserve"> </w:t>
      </w:r>
      <w:r>
        <w:rPr>
          <w:sz w:val="21"/>
        </w:rPr>
        <w:t>available.</w:t>
      </w:r>
    </w:p>
    <w:p w14:paraId="1052D2D8" w14:textId="77777777" w:rsidR="005A7F14" w:rsidRDefault="0031751E">
      <w:pPr>
        <w:pStyle w:val="BodyText"/>
        <w:spacing w:before="142" w:line="259" w:lineRule="auto"/>
        <w:ind w:right="372"/>
      </w:pPr>
      <w:r>
        <w:t>The Spreadsheet shows that 46 IPA’s have publicly available Management Plans, 38 of which include some identified Indigenous specific research methods and/or priorities. There are 30 IPAs where there is no publicly available Management Plan for that IPA.</w:t>
      </w:r>
    </w:p>
    <w:p w14:paraId="546F59EC" w14:textId="77777777" w:rsidR="005A7F14" w:rsidRDefault="00C535E9">
      <w:pPr>
        <w:pStyle w:val="BodyText"/>
        <w:spacing w:before="118" w:line="261" w:lineRule="auto"/>
        <w:ind w:right="205"/>
      </w:pPr>
      <w:hyperlink w:anchor="_bookmark2" w:history="1">
        <w:r w:rsidR="0031751E" w:rsidRPr="00E56D12">
          <w:rPr>
            <w:b/>
            <w:bCs/>
          </w:rPr>
          <w:t>Table 6.1</w:t>
        </w:r>
        <w:r w:rsidR="0031751E">
          <w:t xml:space="preserve"> </w:t>
        </w:r>
      </w:hyperlink>
      <w:r w:rsidR="0031751E">
        <w:t>shows that the bulk of the Management Plans were prepared between 2011-15 and then between 2016-20.</w:t>
      </w:r>
    </w:p>
    <w:p w14:paraId="4ED98814" w14:textId="77777777" w:rsidR="005A7F14" w:rsidRDefault="0031751E">
      <w:pPr>
        <w:pStyle w:val="BodyText"/>
        <w:spacing w:before="116" w:line="259" w:lineRule="auto"/>
        <w:ind w:right="416"/>
      </w:pPr>
      <w:r>
        <w:t>Some of the Management Plans are in their third or fourth iteration, however the bulk of them are still on their first iteration and have expired or are about to expire and are therefore somewhat dated.</w:t>
      </w:r>
    </w:p>
    <w:p w14:paraId="0A463CD6" w14:textId="77777777" w:rsidR="005A7F14" w:rsidRDefault="0031751E">
      <w:pPr>
        <w:pStyle w:val="BodyText"/>
        <w:spacing w:line="255" w:lineRule="exact"/>
      </w:pPr>
      <w:r>
        <w:t>Nevertheless, they still provide a valuable source of information.</w:t>
      </w:r>
    </w:p>
    <w:p w14:paraId="4398A1DA" w14:textId="77777777" w:rsidR="005A7F14" w:rsidRPr="00F93B3D" w:rsidRDefault="0031751E">
      <w:pPr>
        <w:pStyle w:val="BodyText"/>
        <w:spacing w:before="142"/>
        <w:rPr>
          <w:b/>
          <w:bCs/>
        </w:rPr>
      </w:pPr>
      <w:bookmarkStart w:id="2" w:name="_bookmark2"/>
      <w:bookmarkEnd w:id="2"/>
      <w:r w:rsidRPr="00F93B3D">
        <w:rPr>
          <w:b/>
          <w:bCs/>
          <w:color w:val="404040"/>
        </w:rPr>
        <w:t>Table 6.1: IPA and Other Management Plans and timeframes of when they were prepared</w:t>
      </w:r>
    </w:p>
    <w:p w14:paraId="5186064E" w14:textId="77777777" w:rsidR="005A7F14" w:rsidRDefault="005A7F14">
      <w:pPr>
        <w:pStyle w:val="BodyText"/>
        <w:spacing w:before="9"/>
        <w:ind w:left="0"/>
        <w:rPr>
          <w:sz w:val="9"/>
        </w:r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314"/>
        <w:gridCol w:w="1593"/>
        <w:gridCol w:w="1593"/>
      </w:tblGrid>
      <w:tr w:rsidR="005A7F14" w14:paraId="30FD8B14" w14:textId="77777777">
        <w:trPr>
          <w:trHeight w:val="580"/>
        </w:trPr>
        <w:tc>
          <w:tcPr>
            <w:tcW w:w="2314" w:type="dxa"/>
            <w:shd w:val="clear" w:color="auto" w:fill="D9D9D9"/>
          </w:tcPr>
          <w:p w14:paraId="1DACBD92" w14:textId="77777777" w:rsidR="005A7F14" w:rsidRPr="00E56D12" w:rsidRDefault="0031751E">
            <w:pPr>
              <w:pStyle w:val="TableParagraph"/>
              <w:spacing w:before="56"/>
              <w:ind w:left="57" w:right="394"/>
              <w:rPr>
                <w:b/>
                <w:bCs/>
                <w:sz w:val="18"/>
              </w:rPr>
            </w:pPr>
            <w:r w:rsidRPr="00E56D12">
              <w:rPr>
                <w:b/>
                <w:bCs/>
                <w:sz w:val="18"/>
              </w:rPr>
              <w:t>Period Management Plan prepared</w:t>
            </w:r>
          </w:p>
        </w:tc>
        <w:tc>
          <w:tcPr>
            <w:tcW w:w="1593" w:type="dxa"/>
            <w:shd w:val="clear" w:color="auto" w:fill="D9D9D9"/>
          </w:tcPr>
          <w:p w14:paraId="06F15EB6" w14:textId="77777777" w:rsidR="005A7F14" w:rsidRPr="00E56D12" w:rsidRDefault="0031751E">
            <w:pPr>
              <w:pStyle w:val="TableParagraph"/>
              <w:spacing w:before="56"/>
              <w:ind w:left="659" w:right="646"/>
              <w:jc w:val="center"/>
              <w:rPr>
                <w:b/>
                <w:bCs/>
                <w:sz w:val="18"/>
              </w:rPr>
            </w:pPr>
            <w:r w:rsidRPr="00E56D12">
              <w:rPr>
                <w:b/>
                <w:bCs/>
                <w:sz w:val="18"/>
              </w:rPr>
              <w:t>IPA</w:t>
            </w:r>
          </w:p>
        </w:tc>
        <w:tc>
          <w:tcPr>
            <w:tcW w:w="1593" w:type="dxa"/>
            <w:shd w:val="clear" w:color="auto" w:fill="D9D9D9"/>
          </w:tcPr>
          <w:p w14:paraId="74CB2955" w14:textId="77777777" w:rsidR="005A7F14" w:rsidRPr="00E56D12" w:rsidRDefault="0031751E">
            <w:pPr>
              <w:pStyle w:val="TableParagraph"/>
              <w:spacing w:before="56"/>
              <w:ind w:left="607" w:right="52" w:hanging="531"/>
              <w:rPr>
                <w:b/>
                <w:bCs/>
                <w:sz w:val="18"/>
              </w:rPr>
            </w:pPr>
            <w:r w:rsidRPr="00E56D12">
              <w:rPr>
                <w:b/>
                <w:bCs/>
                <w:sz w:val="18"/>
              </w:rPr>
              <w:t>Other Management Plans</w:t>
            </w:r>
          </w:p>
        </w:tc>
      </w:tr>
      <w:tr w:rsidR="005A7F14" w14:paraId="7DD9CE8F" w14:textId="77777777">
        <w:trPr>
          <w:trHeight w:val="333"/>
        </w:trPr>
        <w:tc>
          <w:tcPr>
            <w:tcW w:w="2314" w:type="dxa"/>
          </w:tcPr>
          <w:p w14:paraId="09CD5902" w14:textId="77777777" w:rsidR="005A7F14" w:rsidRDefault="0031751E">
            <w:pPr>
              <w:pStyle w:val="TableParagraph"/>
              <w:spacing w:before="59"/>
              <w:ind w:left="57"/>
              <w:rPr>
                <w:sz w:val="18"/>
              </w:rPr>
            </w:pPr>
            <w:r>
              <w:rPr>
                <w:sz w:val="18"/>
              </w:rPr>
              <w:t>1996-2000</w:t>
            </w:r>
          </w:p>
        </w:tc>
        <w:tc>
          <w:tcPr>
            <w:tcW w:w="1593" w:type="dxa"/>
          </w:tcPr>
          <w:p w14:paraId="25DC53EE" w14:textId="77777777" w:rsidR="005A7F14" w:rsidRDefault="0031751E">
            <w:pPr>
              <w:pStyle w:val="TableParagraph"/>
              <w:spacing w:before="59"/>
              <w:ind w:left="10"/>
              <w:jc w:val="center"/>
              <w:rPr>
                <w:sz w:val="18"/>
              </w:rPr>
            </w:pPr>
            <w:r>
              <w:rPr>
                <w:sz w:val="18"/>
              </w:rPr>
              <w:t>0</w:t>
            </w:r>
          </w:p>
        </w:tc>
        <w:tc>
          <w:tcPr>
            <w:tcW w:w="1593" w:type="dxa"/>
          </w:tcPr>
          <w:p w14:paraId="108C9FC4" w14:textId="77777777" w:rsidR="005A7F14" w:rsidRDefault="0031751E">
            <w:pPr>
              <w:pStyle w:val="TableParagraph"/>
              <w:spacing w:before="59"/>
              <w:ind w:right="738"/>
              <w:jc w:val="right"/>
              <w:rPr>
                <w:sz w:val="18"/>
              </w:rPr>
            </w:pPr>
            <w:r>
              <w:rPr>
                <w:sz w:val="18"/>
              </w:rPr>
              <w:t>0</w:t>
            </w:r>
          </w:p>
        </w:tc>
      </w:tr>
      <w:tr w:rsidR="005A7F14" w14:paraId="597B4196" w14:textId="77777777">
        <w:trPr>
          <w:trHeight w:val="350"/>
        </w:trPr>
        <w:tc>
          <w:tcPr>
            <w:tcW w:w="2314" w:type="dxa"/>
            <w:shd w:val="clear" w:color="auto" w:fill="D9D9D9"/>
          </w:tcPr>
          <w:p w14:paraId="27D6322C" w14:textId="77777777" w:rsidR="005A7F14" w:rsidRDefault="0031751E">
            <w:pPr>
              <w:pStyle w:val="TableParagraph"/>
              <w:spacing w:before="59"/>
              <w:ind w:left="57"/>
              <w:rPr>
                <w:sz w:val="18"/>
              </w:rPr>
            </w:pPr>
            <w:r>
              <w:rPr>
                <w:sz w:val="18"/>
              </w:rPr>
              <w:t>2001-2005</w:t>
            </w:r>
          </w:p>
        </w:tc>
        <w:tc>
          <w:tcPr>
            <w:tcW w:w="1593" w:type="dxa"/>
            <w:shd w:val="clear" w:color="auto" w:fill="D9D9D9"/>
          </w:tcPr>
          <w:p w14:paraId="5F4F7CF4" w14:textId="77777777" w:rsidR="005A7F14" w:rsidRDefault="0031751E">
            <w:pPr>
              <w:pStyle w:val="TableParagraph"/>
              <w:spacing w:before="59"/>
              <w:ind w:left="10"/>
              <w:jc w:val="center"/>
              <w:rPr>
                <w:sz w:val="18"/>
              </w:rPr>
            </w:pPr>
            <w:r>
              <w:rPr>
                <w:sz w:val="18"/>
              </w:rPr>
              <w:t>4</w:t>
            </w:r>
          </w:p>
        </w:tc>
        <w:tc>
          <w:tcPr>
            <w:tcW w:w="1593" w:type="dxa"/>
            <w:shd w:val="clear" w:color="auto" w:fill="D9D9D9"/>
          </w:tcPr>
          <w:p w14:paraId="0779749C" w14:textId="77777777" w:rsidR="005A7F14" w:rsidRDefault="0031751E">
            <w:pPr>
              <w:pStyle w:val="TableParagraph"/>
              <w:spacing w:before="59"/>
              <w:ind w:right="738"/>
              <w:jc w:val="right"/>
              <w:rPr>
                <w:sz w:val="18"/>
              </w:rPr>
            </w:pPr>
            <w:r>
              <w:rPr>
                <w:sz w:val="18"/>
              </w:rPr>
              <w:t>1</w:t>
            </w:r>
          </w:p>
        </w:tc>
      </w:tr>
      <w:tr w:rsidR="005A7F14" w14:paraId="2C6E705E" w14:textId="77777777">
        <w:trPr>
          <w:trHeight w:val="347"/>
        </w:trPr>
        <w:tc>
          <w:tcPr>
            <w:tcW w:w="2314" w:type="dxa"/>
          </w:tcPr>
          <w:p w14:paraId="68900B2E" w14:textId="77777777" w:rsidR="005A7F14" w:rsidRDefault="0031751E">
            <w:pPr>
              <w:pStyle w:val="TableParagraph"/>
              <w:spacing w:before="56"/>
              <w:ind w:left="57"/>
              <w:rPr>
                <w:sz w:val="18"/>
              </w:rPr>
            </w:pPr>
            <w:r>
              <w:rPr>
                <w:sz w:val="18"/>
              </w:rPr>
              <w:t>2006-2010</w:t>
            </w:r>
          </w:p>
        </w:tc>
        <w:tc>
          <w:tcPr>
            <w:tcW w:w="1593" w:type="dxa"/>
          </w:tcPr>
          <w:p w14:paraId="7909CEEE" w14:textId="77777777" w:rsidR="005A7F14" w:rsidRDefault="0031751E">
            <w:pPr>
              <w:pStyle w:val="TableParagraph"/>
              <w:spacing w:before="56"/>
              <w:ind w:left="10"/>
              <w:jc w:val="center"/>
              <w:rPr>
                <w:sz w:val="18"/>
              </w:rPr>
            </w:pPr>
            <w:r>
              <w:rPr>
                <w:sz w:val="18"/>
              </w:rPr>
              <w:t>2</w:t>
            </w:r>
          </w:p>
        </w:tc>
        <w:tc>
          <w:tcPr>
            <w:tcW w:w="1593" w:type="dxa"/>
          </w:tcPr>
          <w:p w14:paraId="08547DE5" w14:textId="77777777" w:rsidR="005A7F14" w:rsidRDefault="0031751E">
            <w:pPr>
              <w:pStyle w:val="TableParagraph"/>
              <w:spacing w:before="56"/>
              <w:ind w:right="738"/>
              <w:jc w:val="right"/>
              <w:rPr>
                <w:sz w:val="18"/>
              </w:rPr>
            </w:pPr>
            <w:r>
              <w:rPr>
                <w:sz w:val="18"/>
              </w:rPr>
              <w:t>1</w:t>
            </w:r>
          </w:p>
        </w:tc>
      </w:tr>
      <w:tr w:rsidR="005A7F14" w14:paraId="5619ED96" w14:textId="77777777">
        <w:trPr>
          <w:trHeight w:val="347"/>
        </w:trPr>
        <w:tc>
          <w:tcPr>
            <w:tcW w:w="2314" w:type="dxa"/>
            <w:shd w:val="clear" w:color="auto" w:fill="D9D9D9"/>
          </w:tcPr>
          <w:p w14:paraId="23D98624" w14:textId="77777777" w:rsidR="005A7F14" w:rsidRDefault="0031751E">
            <w:pPr>
              <w:pStyle w:val="TableParagraph"/>
              <w:spacing w:before="56"/>
              <w:ind w:left="57"/>
              <w:rPr>
                <w:sz w:val="18"/>
              </w:rPr>
            </w:pPr>
            <w:r>
              <w:rPr>
                <w:sz w:val="18"/>
              </w:rPr>
              <w:t>2011-2015</w:t>
            </w:r>
          </w:p>
        </w:tc>
        <w:tc>
          <w:tcPr>
            <w:tcW w:w="1593" w:type="dxa"/>
            <w:shd w:val="clear" w:color="auto" w:fill="D9D9D9"/>
          </w:tcPr>
          <w:p w14:paraId="6AFBCB32" w14:textId="77777777" w:rsidR="005A7F14" w:rsidRDefault="0031751E">
            <w:pPr>
              <w:pStyle w:val="TableParagraph"/>
              <w:spacing w:before="56"/>
              <w:ind w:left="656" w:right="646"/>
              <w:jc w:val="center"/>
              <w:rPr>
                <w:sz w:val="18"/>
              </w:rPr>
            </w:pPr>
            <w:r>
              <w:rPr>
                <w:sz w:val="18"/>
              </w:rPr>
              <w:t>30</w:t>
            </w:r>
          </w:p>
        </w:tc>
        <w:tc>
          <w:tcPr>
            <w:tcW w:w="1593" w:type="dxa"/>
            <w:shd w:val="clear" w:color="auto" w:fill="D9D9D9"/>
          </w:tcPr>
          <w:p w14:paraId="58AF3F3D" w14:textId="77777777" w:rsidR="005A7F14" w:rsidRDefault="0031751E">
            <w:pPr>
              <w:pStyle w:val="TableParagraph"/>
              <w:spacing w:before="56"/>
              <w:ind w:right="738"/>
              <w:jc w:val="right"/>
              <w:rPr>
                <w:sz w:val="18"/>
              </w:rPr>
            </w:pPr>
            <w:r>
              <w:rPr>
                <w:sz w:val="18"/>
              </w:rPr>
              <w:t>3</w:t>
            </w:r>
          </w:p>
        </w:tc>
      </w:tr>
      <w:tr w:rsidR="005A7F14" w14:paraId="4E8955B0" w14:textId="77777777">
        <w:trPr>
          <w:trHeight w:val="347"/>
        </w:trPr>
        <w:tc>
          <w:tcPr>
            <w:tcW w:w="2314" w:type="dxa"/>
          </w:tcPr>
          <w:p w14:paraId="3BBC78F2" w14:textId="77777777" w:rsidR="005A7F14" w:rsidRDefault="0031751E">
            <w:pPr>
              <w:pStyle w:val="TableParagraph"/>
              <w:spacing w:before="56"/>
              <w:ind w:left="57"/>
              <w:rPr>
                <w:sz w:val="18"/>
              </w:rPr>
            </w:pPr>
            <w:r>
              <w:rPr>
                <w:sz w:val="18"/>
              </w:rPr>
              <w:t>2016-2020</w:t>
            </w:r>
          </w:p>
        </w:tc>
        <w:tc>
          <w:tcPr>
            <w:tcW w:w="1593" w:type="dxa"/>
          </w:tcPr>
          <w:p w14:paraId="4878B381" w14:textId="77777777" w:rsidR="005A7F14" w:rsidRDefault="0031751E">
            <w:pPr>
              <w:pStyle w:val="TableParagraph"/>
              <w:spacing w:before="56"/>
              <w:ind w:left="10"/>
              <w:jc w:val="center"/>
              <w:rPr>
                <w:sz w:val="18"/>
              </w:rPr>
            </w:pPr>
            <w:r>
              <w:rPr>
                <w:sz w:val="18"/>
              </w:rPr>
              <w:t>7</w:t>
            </w:r>
          </w:p>
        </w:tc>
        <w:tc>
          <w:tcPr>
            <w:tcW w:w="1593" w:type="dxa"/>
          </w:tcPr>
          <w:p w14:paraId="598B42AA" w14:textId="77777777" w:rsidR="005A7F14" w:rsidRDefault="0031751E">
            <w:pPr>
              <w:pStyle w:val="TableParagraph"/>
              <w:spacing w:before="56"/>
              <w:ind w:right="738"/>
              <w:jc w:val="right"/>
              <w:rPr>
                <w:sz w:val="18"/>
              </w:rPr>
            </w:pPr>
            <w:r>
              <w:rPr>
                <w:sz w:val="18"/>
              </w:rPr>
              <w:t>2</w:t>
            </w:r>
          </w:p>
        </w:tc>
      </w:tr>
      <w:tr w:rsidR="005A7F14" w14:paraId="20201376" w14:textId="77777777">
        <w:trPr>
          <w:trHeight w:val="347"/>
        </w:trPr>
        <w:tc>
          <w:tcPr>
            <w:tcW w:w="2314" w:type="dxa"/>
            <w:shd w:val="clear" w:color="auto" w:fill="D9D9D9"/>
          </w:tcPr>
          <w:p w14:paraId="05A92A4A" w14:textId="77777777" w:rsidR="005A7F14" w:rsidRDefault="0031751E">
            <w:pPr>
              <w:pStyle w:val="TableParagraph"/>
              <w:spacing w:before="59"/>
              <w:ind w:left="57"/>
              <w:rPr>
                <w:sz w:val="18"/>
              </w:rPr>
            </w:pPr>
            <w:r>
              <w:rPr>
                <w:sz w:val="18"/>
              </w:rPr>
              <w:t>Not identified</w:t>
            </w:r>
          </w:p>
        </w:tc>
        <w:tc>
          <w:tcPr>
            <w:tcW w:w="1593" w:type="dxa"/>
            <w:shd w:val="clear" w:color="auto" w:fill="D9D9D9"/>
          </w:tcPr>
          <w:p w14:paraId="45C81B32" w14:textId="77777777" w:rsidR="005A7F14" w:rsidRDefault="0031751E">
            <w:pPr>
              <w:pStyle w:val="TableParagraph"/>
              <w:spacing w:before="59"/>
              <w:ind w:left="10"/>
              <w:jc w:val="center"/>
              <w:rPr>
                <w:sz w:val="18"/>
              </w:rPr>
            </w:pPr>
            <w:r>
              <w:rPr>
                <w:sz w:val="18"/>
              </w:rPr>
              <w:t>3</w:t>
            </w:r>
          </w:p>
        </w:tc>
        <w:tc>
          <w:tcPr>
            <w:tcW w:w="1593" w:type="dxa"/>
            <w:shd w:val="clear" w:color="auto" w:fill="D9D9D9"/>
          </w:tcPr>
          <w:p w14:paraId="28C81D7D" w14:textId="77777777" w:rsidR="005A7F14" w:rsidRDefault="005A7F14">
            <w:pPr>
              <w:pStyle w:val="TableParagraph"/>
              <w:rPr>
                <w:rFonts w:ascii="Times New Roman"/>
                <w:sz w:val="20"/>
              </w:rPr>
            </w:pPr>
          </w:p>
        </w:tc>
      </w:tr>
      <w:tr w:rsidR="005A7F14" w14:paraId="743F9BCF" w14:textId="77777777">
        <w:trPr>
          <w:trHeight w:val="364"/>
        </w:trPr>
        <w:tc>
          <w:tcPr>
            <w:tcW w:w="2314" w:type="dxa"/>
          </w:tcPr>
          <w:p w14:paraId="0997618C" w14:textId="77777777" w:rsidR="005A7F14" w:rsidRPr="00E56D12" w:rsidRDefault="0031751E">
            <w:pPr>
              <w:pStyle w:val="TableParagraph"/>
              <w:spacing w:before="59"/>
              <w:ind w:left="57"/>
              <w:rPr>
                <w:b/>
                <w:bCs/>
                <w:sz w:val="18"/>
              </w:rPr>
            </w:pPr>
            <w:r w:rsidRPr="00E56D12">
              <w:rPr>
                <w:b/>
                <w:bCs/>
                <w:sz w:val="18"/>
              </w:rPr>
              <w:t>TOTAL</w:t>
            </w:r>
          </w:p>
        </w:tc>
        <w:tc>
          <w:tcPr>
            <w:tcW w:w="1593" w:type="dxa"/>
          </w:tcPr>
          <w:p w14:paraId="0F85FCDF" w14:textId="77777777" w:rsidR="005A7F14" w:rsidRPr="00E56D12" w:rsidRDefault="0031751E">
            <w:pPr>
              <w:pStyle w:val="TableParagraph"/>
              <w:spacing w:before="59"/>
              <w:ind w:left="656" w:right="646"/>
              <w:jc w:val="center"/>
              <w:rPr>
                <w:b/>
                <w:bCs/>
                <w:sz w:val="18"/>
              </w:rPr>
            </w:pPr>
            <w:r w:rsidRPr="00E56D12">
              <w:rPr>
                <w:b/>
                <w:bCs/>
                <w:sz w:val="18"/>
              </w:rPr>
              <w:t>46</w:t>
            </w:r>
          </w:p>
        </w:tc>
        <w:tc>
          <w:tcPr>
            <w:tcW w:w="1593" w:type="dxa"/>
          </w:tcPr>
          <w:p w14:paraId="2242B5A7" w14:textId="77777777" w:rsidR="005A7F14" w:rsidRPr="00E56D12" w:rsidRDefault="0031751E">
            <w:pPr>
              <w:pStyle w:val="TableParagraph"/>
              <w:spacing w:before="59"/>
              <w:ind w:right="738"/>
              <w:jc w:val="right"/>
              <w:rPr>
                <w:b/>
                <w:bCs/>
                <w:sz w:val="18"/>
              </w:rPr>
            </w:pPr>
            <w:r w:rsidRPr="00E56D12">
              <w:rPr>
                <w:b/>
                <w:bCs/>
                <w:sz w:val="18"/>
              </w:rPr>
              <w:t>7</w:t>
            </w:r>
          </w:p>
        </w:tc>
      </w:tr>
    </w:tbl>
    <w:p w14:paraId="474953BA" w14:textId="77777777" w:rsidR="005A7F14" w:rsidRDefault="0031751E">
      <w:pPr>
        <w:spacing w:before="121"/>
        <w:ind w:left="140"/>
        <w:rPr>
          <w:sz w:val="16"/>
        </w:rPr>
      </w:pPr>
      <w:r>
        <w:rPr>
          <w:color w:val="525252"/>
          <w:sz w:val="16"/>
        </w:rPr>
        <w:t>Source: IPA Management Plans 1996- 2020</w:t>
      </w:r>
    </w:p>
    <w:p w14:paraId="631DE667" w14:textId="77777777" w:rsidR="005A7F14" w:rsidRDefault="005A7F14">
      <w:pPr>
        <w:pStyle w:val="BodyText"/>
        <w:ind w:left="0"/>
        <w:rPr>
          <w:sz w:val="16"/>
        </w:rPr>
      </w:pPr>
    </w:p>
    <w:p w14:paraId="0D1CE379" w14:textId="77777777" w:rsidR="005A7F14" w:rsidRDefault="005A7F14">
      <w:pPr>
        <w:pStyle w:val="BodyText"/>
        <w:ind w:left="0"/>
        <w:rPr>
          <w:sz w:val="16"/>
        </w:rPr>
      </w:pPr>
    </w:p>
    <w:p w14:paraId="284F5B92" w14:textId="77777777" w:rsidR="005A7F14" w:rsidRDefault="0031751E">
      <w:pPr>
        <w:pStyle w:val="BodyText"/>
        <w:spacing w:before="120" w:line="261" w:lineRule="auto"/>
        <w:ind w:right="448"/>
      </w:pPr>
      <w:r>
        <w:t>The spreadsheet also identifies which Interim Biodiversity Regions and NRM regions the IPA is situated, in addition to other relevant details, including the nature of the threats identified in the Plan.</w:t>
      </w:r>
    </w:p>
    <w:p w14:paraId="0778B5E0" w14:textId="77777777" w:rsidR="005A7F14" w:rsidRDefault="0031751E">
      <w:pPr>
        <w:pStyle w:val="BodyText"/>
        <w:spacing w:before="116" w:line="259" w:lineRule="auto"/>
        <w:ind w:right="329"/>
      </w:pPr>
      <w:r>
        <w:t>The primary purpose of this analysis is to ascertain whether the IPA Management Plans identify Indigenous specific environmental and climate science research priorities. SGSEP’s analysis found that:</w:t>
      </w:r>
    </w:p>
    <w:p w14:paraId="3CE610F1" w14:textId="77777777" w:rsidR="005A7F14" w:rsidRDefault="0031751E">
      <w:pPr>
        <w:pStyle w:val="ListParagraph"/>
        <w:numPr>
          <w:ilvl w:val="2"/>
          <w:numId w:val="6"/>
        </w:numPr>
        <w:tabs>
          <w:tab w:val="left" w:pos="860"/>
          <w:tab w:val="left" w:pos="861"/>
        </w:tabs>
        <w:spacing w:before="121" w:line="259" w:lineRule="auto"/>
        <w:ind w:right="182"/>
        <w:rPr>
          <w:sz w:val="21"/>
        </w:rPr>
      </w:pPr>
      <w:r>
        <w:rPr>
          <w:sz w:val="21"/>
        </w:rPr>
        <w:t>Of the 46 IPA Management Plans that SGSEP and DAWE were able to locate on the public record, 38 (79%) of them identified discernible/specific Indigenous research</w:t>
      </w:r>
      <w:r>
        <w:rPr>
          <w:spacing w:val="-9"/>
          <w:sz w:val="21"/>
        </w:rPr>
        <w:t xml:space="preserve"> </w:t>
      </w:r>
      <w:r>
        <w:rPr>
          <w:sz w:val="21"/>
        </w:rPr>
        <w:t>priorities.</w:t>
      </w:r>
    </w:p>
    <w:p w14:paraId="6124BABA" w14:textId="77777777" w:rsidR="005A7F14" w:rsidRDefault="0031751E">
      <w:pPr>
        <w:pStyle w:val="ListParagraph"/>
        <w:numPr>
          <w:ilvl w:val="2"/>
          <w:numId w:val="6"/>
        </w:numPr>
        <w:tabs>
          <w:tab w:val="left" w:pos="860"/>
          <w:tab w:val="left" w:pos="861"/>
        </w:tabs>
        <w:spacing w:line="259" w:lineRule="auto"/>
        <w:ind w:right="649"/>
        <w:rPr>
          <w:sz w:val="21"/>
        </w:rPr>
      </w:pPr>
      <w:r>
        <w:rPr>
          <w:sz w:val="21"/>
        </w:rPr>
        <w:t>Of the seven (7) other non-IPA Management Plans on the public record, five of them identified discernible Indigenous research</w:t>
      </w:r>
      <w:r>
        <w:rPr>
          <w:spacing w:val="-2"/>
          <w:sz w:val="21"/>
        </w:rPr>
        <w:t xml:space="preserve"> </w:t>
      </w:r>
      <w:r>
        <w:rPr>
          <w:sz w:val="21"/>
        </w:rPr>
        <w:t>priorities.</w:t>
      </w:r>
    </w:p>
    <w:p w14:paraId="591C4EDB" w14:textId="77777777" w:rsidR="005A7F14" w:rsidRDefault="0031751E">
      <w:pPr>
        <w:pStyle w:val="BodyText"/>
        <w:spacing w:before="119"/>
      </w:pPr>
      <w:r>
        <w:t>By ‘discernible/specific Indigenous research priorities’ we mean that the priorities can be regarded as</w:t>
      </w:r>
    </w:p>
    <w:p w14:paraId="2E0A06DE" w14:textId="77777777" w:rsidR="005A7F14" w:rsidRDefault="0031751E">
      <w:pPr>
        <w:pStyle w:val="BodyText"/>
        <w:spacing w:before="19"/>
      </w:pPr>
      <w:r>
        <w:t>‘Indigenous specific’ because they are identified in the Management Plan and the Management Plan has</w:t>
      </w:r>
    </w:p>
    <w:p w14:paraId="51B64E49" w14:textId="77777777" w:rsidR="005A7F14" w:rsidRDefault="005A7F14">
      <w:pPr>
        <w:sectPr w:rsidR="005A7F14">
          <w:pgSz w:w="11910" w:h="16840"/>
          <w:pgMar w:top="1360" w:right="1000" w:bottom="940" w:left="1420" w:header="0" w:footer="747" w:gutter="0"/>
          <w:cols w:space="720"/>
        </w:sectPr>
      </w:pPr>
    </w:p>
    <w:p w14:paraId="59E625FA" w14:textId="77777777" w:rsidR="005A7F14" w:rsidRDefault="0031751E">
      <w:pPr>
        <w:pStyle w:val="BodyText"/>
        <w:spacing w:before="41" w:line="259" w:lineRule="auto"/>
        <w:ind w:right="160"/>
      </w:pPr>
      <w:r>
        <w:lastRenderedPageBreak/>
        <w:t>been prepared by the relevant TOs or Indigenous organisation that is responsible for the management of the IPA.</w:t>
      </w:r>
    </w:p>
    <w:p w14:paraId="6D4BD164" w14:textId="77777777" w:rsidR="005A7F14" w:rsidRDefault="0031751E">
      <w:pPr>
        <w:pStyle w:val="BodyText"/>
        <w:spacing w:before="119"/>
      </w:pPr>
      <w:r>
        <w:t>Two things are very clear from this analysis:</w:t>
      </w:r>
    </w:p>
    <w:p w14:paraId="10ACE6E9" w14:textId="77777777" w:rsidR="005A7F14" w:rsidRDefault="0031751E">
      <w:pPr>
        <w:pStyle w:val="ListParagraph"/>
        <w:numPr>
          <w:ilvl w:val="2"/>
          <w:numId w:val="6"/>
        </w:numPr>
        <w:tabs>
          <w:tab w:val="left" w:pos="860"/>
          <w:tab w:val="left" w:pos="861"/>
        </w:tabs>
        <w:spacing w:before="142" w:line="259" w:lineRule="auto"/>
        <w:ind w:right="374"/>
        <w:rPr>
          <w:sz w:val="21"/>
        </w:rPr>
      </w:pPr>
      <w:r>
        <w:rPr>
          <w:sz w:val="21"/>
        </w:rPr>
        <w:t>Firstly, many of the IPA Management Plans raise issues around the use of Indigenous ecological or traditional knowledge and require the development of formal agreements or protocols for undertaking scientific research on the</w:t>
      </w:r>
      <w:r>
        <w:rPr>
          <w:spacing w:val="-5"/>
          <w:sz w:val="21"/>
        </w:rPr>
        <w:t xml:space="preserve"> </w:t>
      </w:r>
      <w:r>
        <w:rPr>
          <w:sz w:val="21"/>
        </w:rPr>
        <w:t>IPA.</w:t>
      </w:r>
    </w:p>
    <w:p w14:paraId="54233C9B" w14:textId="77777777" w:rsidR="005A7F14" w:rsidRDefault="0031751E">
      <w:pPr>
        <w:pStyle w:val="ListParagraph"/>
        <w:numPr>
          <w:ilvl w:val="2"/>
          <w:numId w:val="6"/>
        </w:numPr>
        <w:tabs>
          <w:tab w:val="left" w:pos="860"/>
          <w:tab w:val="left" w:pos="861"/>
        </w:tabs>
        <w:spacing w:line="261" w:lineRule="auto"/>
        <w:ind w:right="324"/>
        <w:rPr>
          <w:sz w:val="21"/>
        </w:rPr>
      </w:pPr>
      <w:r>
        <w:rPr>
          <w:sz w:val="21"/>
        </w:rPr>
        <w:t>Secondly, many of the IPA Management Plans identify a wide range of threats and specific matters that the TOs or management body consider require further</w:t>
      </w:r>
      <w:r>
        <w:rPr>
          <w:spacing w:val="-11"/>
          <w:sz w:val="21"/>
        </w:rPr>
        <w:t xml:space="preserve"> </w:t>
      </w:r>
      <w:r>
        <w:rPr>
          <w:sz w:val="21"/>
        </w:rPr>
        <w:t>research.</w:t>
      </w:r>
    </w:p>
    <w:p w14:paraId="66D8D67B" w14:textId="77777777" w:rsidR="005A7F14" w:rsidRDefault="0031751E">
      <w:pPr>
        <w:pStyle w:val="BodyText"/>
        <w:spacing w:before="113"/>
      </w:pPr>
      <w:r>
        <w:t>The details are presented in the Excel Spreadsheet, and are discussed in more detail below.</w:t>
      </w:r>
    </w:p>
    <w:p w14:paraId="27A91429" w14:textId="77777777" w:rsidR="005A7F14" w:rsidRDefault="00C535E9">
      <w:pPr>
        <w:pStyle w:val="BodyText"/>
        <w:spacing w:before="140" w:line="259" w:lineRule="auto"/>
        <w:ind w:right="217"/>
      </w:pPr>
      <w:hyperlink w:anchor="_bookmark3" w:history="1">
        <w:r w:rsidR="0031751E" w:rsidRPr="00E56D12">
          <w:rPr>
            <w:b/>
            <w:bCs/>
          </w:rPr>
          <w:t>Table 6.2</w:t>
        </w:r>
        <w:r w:rsidR="0031751E">
          <w:t xml:space="preserve"> </w:t>
        </w:r>
      </w:hyperlink>
      <w:r w:rsidR="0031751E">
        <w:t>is a list of the relevant 38 IPA Management Plans and shows in tabular form in which IPA Management Plan these specific issues are raised. The analysis of the specific research priorities has been aligned with the four thematic Hubs that are to be established under the next iteration of the NESP (discussed further below).</w:t>
      </w:r>
    </w:p>
    <w:p w14:paraId="1C773CD1" w14:textId="77777777" w:rsidR="005A7F14" w:rsidRDefault="00C535E9">
      <w:pPr>
        <w:pStyle w:val="BodyText"/>
        <w:spacing w:before="119" w:line="259" w:lineRule="auto"/>
        <w:ind w:right="163"/>
      </w:pPr>
      <w:hyperlink w:anchor="_bookmark4" w:history="1">
        <w:r w:rsidR="0031751E" w:rsidRPr="00E56D12">
          <w:rPr>
            <w:b/>
            <w:bCs/>
          </w:rPr>
          <w:t>Table 6.3</w:t>
        </w:r>
        <w:r w:rsidR="0031751E">
          <w:t xml:space="preserve"> </w:t>
        </w:r>
      </w:hyperlink>
      <w:r w:rsidR="0031751E">
        <w:t>is a list of the Other Non-IPA Management Plans and shows in tabular form in which Other Non-IPA Management Plan these specific issues have been identified and how they align with the with the four thematic Hubs that are to be established under the next iteration of the NESP (discussed further below).</w:t>
      </w:r>
    </w:p>
    <w:p w14:paraId="2564E230" w14:textId="77777777" w:rsidR="005A7F14" w:rsidRDefault="005A7F14">
      <w:pPr>
        <w:spacing w:line="259" w:lineRule="auto"/>
        <w:sectPr w:rsidR="005A7F14">
          <w:pgSz w:w="11910" w:h="16840"/>
          <w:pgMar w:top="1360" w:right="1000" w:bottom="940" w:left="1420" w:header="0" w:footer="747" w:gutter="0"/>
          <w:cols w:space="720"/>
        </w:sectPr>
      </w:pPr>
    </w:p>
    <w:p w14:paraId="2A46111F" w14:textId="77777777" w:rsidR="005A7F14" w:rsidRPr="00F93B3D" w:rsidRDefault="0031751E">
      <w:pPr>
        <w:pStyle w:val="BodyText"/>
        <w:spacing w:before="41"/>
        <w:rPr>
          <w:b/>
          <w:bCs/>
        </w:rPr>
      </w:pPr>
      <w:bookmarkStart w:id="3" w:name="_bookmark3"/>
      <w:bookmarkEnd w:id="3"/>
      <w:r w:rsidRPr="00F93B3D">
        <w:rPr>
          <w:b/>
          <w:bCs/>
          <w:color w:val="404040"/>
        </w:rPr>
        <w:lastRenderedPageBreak/>
        <w:t>Table 6.2: IPA Management Plans, Indigenous specific research priorities and alignment with NESP2 Hubs</w:t>
      </w:r>
    </w:p>
    <w:p w14:paraId="5D0BA941" w14:textId="77777777" w:rsidR="005A7F14" w:rsidRDefault="005A7F14">
      <w:pPr>
        <w:pStyle w:val="BodyText"/>
        <w:spacing w:before="9"/>
        <w:ind w:left="0"/>
        <w:rPr>
          <w:sz w:val="9"/>
        </w:r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756"/>
        <w:gridCol w:w="1877"/>
        <w:gridCol w:w="1164"/>
        <w:gridCol w:w="1179"/>
        <w:gridCol w:w="835"/>
        <w:gridCol w:w="1164"/>
        <w:gridCol w:w="901"/>
        <w:gridCol w:w="1335"/>
      </w:tblGrid>
      <w:tr w:rsidR="005A7F14" w14:paraId="4D7A4DE7" w14:textId="77777777">
        <w:trPr>
          <w:trHeight w:val="484"/>
        </w:trPr>
        <w:tc>
          <w:tcPr>
            <w:tcW w:w="3797" w:type="dxa"/>
            <w:gridSpan w:val="3"/>
            <w:shd w:val="clear" w:color="auto" w:fill="D9D9D9"/>
          </w:tcPr>
          <w:p w14:paraId="2368F809" w14:textId="77777777" w:rsidR="005A7F14" w:rsidRPr="00E56D12" w:rsidRDefault="0031751E">
            <w:pPr>
              <w:pStyle w:val="TableParagraph"/>
              <w:spacing w:before="121"/>
              <w:ind w:left="623"/>
              <w:rPr>
                <w:b/>
                <w:bCs/>
                <w:sz w:val="20"/>
              </w:rPr>
            </w:pPr>
            <w:r w:rsidRPr="00E56D12">
              <w:rPr>
                <w:b/>
                <w:bCs/>
                <w:sz w:val="20"/>
              </w:rPr>
              <w:t>IPAs by number and jurisdiction</w:t>
            </w:r>
          </w:p>
        </w:tc>
        <w:tc>
          <w:tcPr>
            <w:tcW w:w="1179" w:type="dxa"/>
            <w:vMerge w:val="restart"/>
            <w:shd w:val="clear" w:color="auto" w:fill="F4C4FB"/>
          </w:tcPr>
          <w:p w14:paraId="0D002772" w14:textId="77777777" w:rsidR="005A7F14" w:rsidRPr="00E56D12" w:rsidRDefault="0031751E">
            <w:pPr>
              <w:pStyle w:val="TableParagraph"/>
              <w:spacing w:before="121"/>
              <w:ind w:left="108" w:right="106"/>
              <w:rPr>
                <w:b/>
                <w:bCs/>
                <w:sz w:val="20"/>
              </w:rPr>
            </w:pPr>
            <w:r w:rsidRPr="00E56D12">
              <w:rPr>
                <w:b/>
                <w:bCs/>
                <w:sz w:val="20"/>
              </w:rPr>
              <w:t>Indigenous specific research methods / approaches</w:t>
            </w:r>
          </w:p>
        </w:tc>
        <w:tc>
          <w:tcPr>
            <w:tcW w:w="4235" w:type="dxa"/>
            <w:gridSpan w:val="4"/>
            <w:shd w:val="clear" w:color="auto" w:fill="D9D9D9"/>
          </w:tcPr>
          <w:p w14:paraId="59F60067" w14:textId="77777777" w:rsidR="005A7F14" w:rsidRPr="00E56D12" w:rsidRDefault="0031751E">
            <w:pPr>
              <w:pStyle w:val="TableParagraph"/>
              <w:spacing w:before="121"/>
              <w:ind w:left="285"/>
              <w:rPr>
                <w:b/>
                <w:bCs/>
                <w:sz w:val="20"/>
              </w:rPr>
            </w:pPr>
            <w:r w:rsidRPr="00E56D12">
              <w:rPr>
                <w:b/>
                <w:bCs/>
                <w:sz w:val="20"/>
              </w:rPr>
              <w:t>NESP2 Hubs and Indigenous specific priorities</w:t>
            </w:r>
          </w:p>
        </w:tc>
      </w:tr>
      <w:tr w:rsidR="005A7F14" w14:paraId="6039A66E" w14:textId="77777777">
        <w:trPr>
          <w:trHeight w:val="1458"/>
        </w:trPr>
        <w:tc>
          <w:tcPr>
            <w:tcW w:w="756" w:type="dxa"/>
          </w:tcPr>
          <w:p w14:paraId="680B72A1" w14:textId="77777777" w:rsidR="005A7F14" w:rsidRPr="00E56D12" w:rsidRDefault="005A7F14">
            <w:pPr>
              <w:pStyle w:val="TableParagraph"/>
              <w:rPr>
                <w:b/>
                <w:bCs/>
                <w:sz w:val="20"/>
              </w:rPr>
            </w:pPr>
          </w:p>
          <w:p w14:paraId="1A3970EB" w14:textId="77777777" w:rsidR="005A7F14" w:rsidRPr="00E56D12" w:rsidRDefault="005A7F14">
            <w:pPr>
              <w:pStyle w:val="TableParagraph"/>
              <w:spacing w:before="10"/>
              <w:rPr>
                <w:b/>
                <w:bCs/>
                <w:sz w:val="19"/>
              </w:rPr>
            </w:pPr>
          </w:p>
          <w:p w14:paraId="28ADA676" w14:textId="77777777" w:rsidR="005A7F14" w:rsidRPr="00E56D12" w:rsidRDefault="0031751E">
            <w:pPr>
              <w:pStyle w:val="TableParagraph"/>
              <w:ind w:left="244"/>
              <w:rPr>
                <w:b/>
                <w:bCs/>
                <w:sz w:val="20"/>
              </w:rPr>
            </w:pPr>
            <w:r w:rsidRPr="00E56D12">
              <w:rPr>
                <w:b/>
                <w:bCs/>
                <w:sz w:val="20"/>
              </w:rPr>
              <w:t>IPA</w:t>
            </w:r>
          </w:p>
          <w:p w14:paraId="28D7D476" w14:textId="77777777" w:rsidR="005A7F14" w:rsidRPr="00E56D12" w:rsidRDefault="0031751E">
            <w:pPr>
              <w:pStyle w:val="TableParagraph"/>
              <w:ind w:left="237"/>
              <w:rPr>
                <w:b/>
                <w:bCs/>
                <w:sz w:val="20"/>
              </w:rPr>
            </w:pPr>
            <w:r w:rsidRPr="00E56D12">
              <w:rPr>
                <w:b/>
                <w:bCs/>
                <w:sz w:val="20"/>
              </w:rPr>
              <w:t>No.</w:t>
            </w:r>
          </w:p>
        </w:tc>
        <w:tc>
          <w:tcPr>
            <w:tcW w:w="1877" w:type="dxa"/>
          </w:tcPr>
          <w:p w14:paraId="7AFE734D" w14:textId="77777777" w:rsidR="005A7F14" w:rsidRPr="00E56D12" w:rsidRDefault="005A7F14">
            <w:pPr>
              <w:pStyle w:val="TableParagraph"/>
              <w:rPr>
                <w:b/>
                <w:bCs/>
                <w:sz w:val="20"/>
              </w:rPr>
            </w:pPr>
          </w:p>
          <w:p w14:paraId="0E9A5945" w14:textId="77777777" w:rsidR="005A7F14" w:rsidRPr="00E56D12" w:rsidRDefault="005A7F14">
            <w:pPr>
              <w:pStyle w:val="TableParagraph"/>
              <w:spacing w:before="10"/>
              <w:rPr>
                <w:b/>
                <w:bCs/>
                <w:sz w:val="29"/>
              </w:rPr>
            </w:pPr>
          </w:p>
          <w:p w14:paraId="525F6F20" w14:textId="77777777" w:rsidR="005A7F14" w:rsidRPr="00E56D12" w:rsidRDefault="0031751E">
            <w:pPr>
              <w:pStyle w:val="TableParagraph"/>
              <w:ind w:left="544"/>
              <w:rPr>
                <w:b/>
                <w:bCs/>
                <w:sz w:val="20"/>
              </w:rPr>
            </w:pPr>
            <w:r w:rsidRPr="00E56D12">
              <w:rPr>
                <w:b/>
                <w:bCs/>
                <w:sz w:val="20"/>
              </w:rPr>
              <w:t>IPA Name</w:t>
            </w:r>
          </w:p>
        </w:tc>
        <w:tc>
          <w:tcPr>
            <w:tcW w:w="1164" w:type="dxa"/>
          </w:tcPr>
          <w:p w14:paraId="32370E45" w14:textId="77777777" w:rsidR="005A7F14" w:rsidRPr="00E56D12" w:rsidRDefault="005A7F14">
            <w:pPr>
              <w:pStyle w:val="TableParagraph"/>
              <w:rPr>
                <w:b/>
                <w:bCs/>
                <w:sz w:val="20"/>
              </w:rPr>
            </w:pPr>
          </w:p>
          <w:p w14:paraId="052B3946" w14:textId="77777777" w:rsidR="005A7F14" w:rsidRPr="00E56D12" w:rsidRDefault="005A7F14">
            <w:pPr>
              <w:pStyle w:val="TableParagraph"/>
              <w:spacing w:before="10"/>
              <w:rPr>
                <w:b/>
                <w:bCs/>
                <w:sz w:val="29"/>
              </w:rPr>
            </w:pPr>
          </w:p>
          <w:p w14:paraId="6640DB7D" w14:textId="77777777" w:rsidR="005A7F14" w:rsidRPr="00E56D12" w:rsidRDefault="0031751E">
            <w:pPr>
              <w:pStyle w:val="TableParagraph"/>
              <w:ind w:left="108" w:right="98"/>
              <w:jc w:val="center"/>
              <w:rPr>
                <w:b/>
                <w:bCs/>
                <w:sz w:val="20"/>
              </w:rPr>
            </w:pPr>
            <w:r w:rsidRPr="00E56D12">
              <w:rPr>
                <w:b/>
                <w:bCs/>
                <w:sz w:val="20"/>
              </w:rPr>
              <w:t>Jurisdiction</w:t>
            </w:r>
          </w:p>
        </w:tc>
        <w:tc>
          <w:tcPr>
            <w:tcW w:w="1179" w:type="dxa"/>
            <w:vMerge/>
            <w:tcBorders>
              <w:top w:val="nil"/>
            </w:tcBorders>
            <w:shd w:val="clear" w:color="auto" w:fill="F4C4FB"/>
          </w:tcPr>
          <w:p w14:paraId="613138ED" w14:textId="77777777" w:rsidR="005A7F14" w:rsidRDefault="005A7F14">
            <w:pPr>
              <w:rPr>
                <w:sz w:val="2"/>
                <w:szCs w:val="2"/>
              </w:rPr>
            </w:pPr>
          </w:p>
        </w:tc>
        <w:tc>
          <w:tcPr>
            <w:tcW w:w="835" w:type="dxa"/>
            <w:shd w:val="clear" w:color="auto" w:fill="EEC6DC"/>
          </w:tcPr>
          <w:p w14:paraId="3861D93B" w14:textId="77777777" w:rsidR="005A7F14" w:rsidRPr="00E56D12" w:rsidRDefault="0031751E">
            <w:pPr>
              <w:pStyle w:val="TableParagraph"/>
              <w:spacing w:before="119"/>
              <w:ind w:left="107" w:right="111"/>
              <w:rPr>
                <w:b/>
                <w:bCs/>
                <w:sz w:val="20"/>
              </w:rPr>
            </w:pPr>
            <w:r w:rsidRPr="00E56D12">
              <w:rPr>
                <w:b/>
                <w:bCs/>
                <w:sz w:val="20"/>
              </w:rPr>
              <w:t>Marine &amp; Coastal Hub</w:t>
            </w:r>
          </w:p>
        </w:tc>
        <w:tc>
          <w:tcPr>
            <w:tcW w:w="1164" w:type="dxa"/>
            <w:shd w:val="clear" w:color="auto" w:fill="BED5FF"/>
          </w:tcPr>
          <w:p w14:paraId="1CD76CF3" w14:textId="77777777" w:rsidR="005A7F14" w:rsidRPr="00E56D12" w:rsidRDefault="0031751E">
            <w:pPr>
              <w:pStyle w:val="TableParagraph"/>
              <w:spacing w:before="119"/>
              <w:ind w:left="105" w:right="106"/>
              <w:rPr>
                <w:b/>
                <w:bCs/>
                <w:sz w:val="20"/>
              </w:rPr>
            </w:pPr>
            <w:r w:rsidRPr="00E56D12">
              <w:rPr>
                <w:b/>
                <w:bCs/>
                <w:sz w:val="20"/>
              </w:rPr>
              <w:t>Resilient Landscapes Hub</w:t>
            </w:r>
          </w:p>
        </w:tc>
        <w:tc>
          <w:tcPr>
            <w:tcW w:w="901" w:type="dxa"/>
            <w:shd w:val="clear" w:color="auto" w:fill="E7FFBD"/>
          </w:tcPr>
          <w:p w14:paraId="0F7B68D1" w14:textId="77777777" w:rsidR="005A7F14" w:rsidRPr="00E56D12" w:rsidRDefault="0031751E">
            <w:pPr>
              <w:pStyle w:val="TableParagraph"/>
              <w:spacing w:before="119"/>
              <w:ind w:left="108" w:right="123"/>
              <w:jc w:val="both"/>
              <w:rPr>
                <w:b/>
                <w:bCs/>
                <w:sz w:val="20"/>
              </w:rPr>
            </w:pPr>
            <w:r w:rsidRPr="00E56D12">
              <w:rPr>
                <w:b/>
                <w:bCs/>
                <w:sz w:val="20"/>
              </w:rPr>
              <w:t>Climate Systems Hub</w:t>
            </w:r>
          </w:p>
        </w:tc>
        <w:tc>
          <w:tcPr>
            <w:tcW w:w="1335" w:type="dxa"/>
            <w:shd w:val="clear" w:color="auto" w:fill="FF4E87"/>
          </w:tcPr>
          <w:p w14:paraId="0C70D8CB" w14:textId="77777777" w:rsidR="005A7F14" w:rsidRPr="00E56D12" w:rsidRDefault="0031751E">
            <w:pPr>
              <w:pStyle w:val="TableParagraph"/>
              <w:spacing w:before="119"/>
              <w:ind w:left="107" w:right="117"/>
              <w:rPr>
                <w:b/>
                <w:bCs/>
                <w:sz w:val="20"/>
              </w:rPr>
            </w:pPr>
            <w:r w:rsidRPr="00E56D12">
              <w:rPr>
                <w:b/>
                <w:bCs/>
                <w:sz w:val="20"/>
              </w:rPr>
              <w:t>Sustainable Communities and Waste Management Hub</w:t>
            </w:r>
          </w:p>
        </w:tc>
      </w:tr>
      <w:tr w:rsidR="005A7F14" w14:paraId="69D17837" w14:textId="77777777">
        <w:trPr>
          <w:trHeight w:val="364"/>
        </w:trPr>
        <w:tc>
          <w:tcPr>
            <w:tcW w:w="756" w:type="dxa"/>
          </w:tcPr>
          <w:p w14:paraId="1EB2BD21" w14:textId="77777777" w:rsidR="005A7F14" w:rsidRDefault="0031751E">
            <w:pPr>
              <w:pStyle w:val="TableParagraph"/>
              <w:spacing w:before="1"/>
              <w:ind w:left="7"/>
              <w:jc w:val="center"/>
              <w:rPr>
                <w:sz w:val="20"/>
              </w:rPr>
            </w:pPr>
            <w:r>
              <w:rPr>
                <w:w w:val="99"/>
                <w:sz w:val="20"/>
              </w:rPr>
              <w:t>5</w:t>
            </w:r>
          </w:p>
        </w:tc>
        <w:tc>
          <w:tcPr>
            <w:tcW w:w="1877" w:type="dxa"/>
          </w:tcPr>
          <w:p w14:paraId="4A0E556F" w14:textId="77777777" w:rsidR="005A7F14" w:rsidRDefault="0031751E">
            <w:pPr>
              <w:pStyle w:val="TableParagraph"/>
              <w:spacing w:before="1"/>
              <w:ind w:left="107"/>
              <w:rPr>
                <w:sz w:val="20"/>
              </w:rPr>
            </w:pPr>
            <w:proofErr w:type="spellStart"/>
            <w:r>
              <w:rPr>
                <w:sz w:val="20"/>
              </w:rPr>
              <w:t>Deen</w:t>
            </w:r>
            <w:proofErr w:type="spellEnd"/>
            <w:r>
              <w:rPr>
                <w:sz w:val="20"/>
              </w:rPr>
              <w:t xml:space="preserve"> Maar</w:t>
            </w:r>
          </w:p>
        </w:tc>
        <w:tc>
          <w:tcPr>
            <w:tcW w:w="1164" w:type="dxa"/>
          </w:tcPr>
          <w:p w14:paraId="22F050E1" w14:textId="77777777" w:rsidR="005A7F14" w:rsidRDefault="0031751E">
            <w:pPr>
              <w:pStyle w:val="TableParagraph"/>
              <w:spacing w:before="1"/>
              <w:ind w:left="107" w:right="98"/>
              <w:jc w:val="center"/>
              <w:rPr>
                <w:sz w:val="20"/>
              </w:rPr>
            </w:pPr>
            <w:r>
              <w:rPr>
                <w:sz w:val="20"/>
              </w:rPr>
              <w:t>VIC</w:t>
            </w:r>
          </w:p>
        </w:tc>
        <w:tc>
          <w:tcPr>
            <w:tcW w:w="1179" w:type="dxa"/>
            <w:shd w:val="clear" w:color="auto" w:fill="F4C4FB"/>
          </w:tcPr>
          <w:p w14:paraId="785B7B23" w14:textId="77777777" w:rsidR="005A7F14" w:rsidRDefault="0031751E">
            <w:pPr>
              <w:pStyle w:val="TableParagraph"/>
              <w:spacing w:before="1"/>
              <w:ind w:left="9"/>
              <w:jc w:val="center"/>
              <w:rPr>
                <w:sz w:val="20"/>
              </w:rPr>
            </w:pPr>
            <w:r>
              <w:rPr>
                <w:w w:val="99"/>
                <w:sz w:val="20"/>
              </w:rPr>
              <w:t>Y</w:t>
            </w:r>
          </w:p>
        </w:tc>
        <w:tc>
          <w:tcPr>
            <w:tcW w:w="835" w:type="dxa"/>
            <w:shd w:val="clear" w:color="auto" w:fill="EEC6DC"/>
          </w:tcPr>
          <w:p w14:paraId="688FDEC8" w14:textId="77777777" w:rsidR="005A7F14" w:rsidRDefault="0031751E">
            <w:pPr>
              <w:pStyle w:val="TableParagraph"/>
              <w:spacing w:before="1"/>
              <w:ind w:left="7"/>
              <w:jc w:val="center"/>
              <w:rPr>
                <w:sz w:val="20"/>
              </w:rPr>
            </w:pPr>
            <w:r>
              <w:rPr>
                <w:w w:val="99"/>
                <w:sz w:val="20"/>
              </w:rPr>
              <w:t>Y</w:t>
            </w:r>
          </w:p>
        </w:tc>
        <w:tc>
          <w:tcPr>
            <w:tcW w:w="1164" w:type="dxa"/>
            <w:shd w:val="clear" w:color="auto" w:fill="BED5FF"/>
          </w:tcPr>
          <w:p w14:paraId="72627C3D" w14:textId="77777777" w:rsidR="005A7F14" w:rsidRDefault="0031751E">
            <w:pPr>
              <w:pStyle w:val="TableParagraph"/>
              <w:spacing w:before="1"/>
              <w:ind w:left="5"/>
              <w:jc w:val="center"/>
              <w:rPr>
                <w:sz w:val="20"/>
              </w:rPr>
            </w:pPr>
            <w:r>
              <w:rPr>
                <w:w w:val="99"/>
                <w:sz w:val="20"/>
              </w:rPr>
              <w:t>Y</w:t>
            </w:r>
          </w:p>
        </w:tc>
        <w:tc>
          <w:tcPr>
            <w:tcW w:w="901" w:type="dxa"/>
          </w:tcPr>
          <w:p w14:paraId="47452B58" w14:textId="77777777" w:rsidR="005A7F14" w:rsidRDefault="005A7F14">
            <w:pPr>
              <w:pStyle w:val="TableParagraph"/>
              <w:rPr>
                <w:rFonts w:ascii="Times New Roman"/>
                <w:sz w:val="20"/>
              </w:rPr>
            </w:pPr>
          </w:p>
        </w:tc>
        <w:tc>
          <w:tcPr>
            <w:tcW w:w="1335" w:type="dxa"/>
          </w:tcPr>
          <w:p w14:paraId="439C9A1F" w14:textId="77777777" w:rsidR="005A7F14" w:rsidRDefault="005A7F14">
            <w:pPr>
              <w:pStyle w:val="TableParagraph"/>
              <w:rPr>
                <w:rFonts w:ascii="Times New Roman"/>
                <w:sz w:val="20"/>
              </w:rPr>
            </w:pPr>
          </w:p>
        </w:tc>
      </w:tr>
      <w:tr w:rsidR="005A7F14" w14:paraId="7CB8DF88" w14:textId="77777777">
        <w:trPr>
          <w:trHeight w:val="364"/>
        </w:trPr>
        <w:tc>
          <w:tcPr>
            <w:tcW w:w="756" w:type="dxa"/>
          </w:tcPr>
          <w:p w14:paraId="23FDD7D5" w14:textId="77777777" w:rsidR="005A7F14" w:rsidRDefault="0031751E">
            <w:pPr>
              <w:pStyle w:val="TableParagraph"/>
              <w:spacing w:before="1"/>
              <w:ind w:right="266"/>
              <w:jc w:val="right"/>
              <w:rPr>
                <w:sz w:val="20"/>
              </w:rPr>
            </w:pPr>
            <w:r>
              <w:rPr>
                <w:w w:val="95"/>
                <w:sz w:val="20"/>
              </w:rPr>
              <w:t>12</w:t>
            </w:r>
          </w:p>
        </w:tc>
        <w:tc>
          <w:tcPr>
            <w:tcW w:w="1877" w:type="dxa"/>
          </w:tcPr>
          <w:p w14:paraId="5C4DD7E6" w14:textId="77777777" w:rsidR="005A7F14" w:rsidRDefault="0031751E">
            <w:pPr>
              <w:pStyle w:val="TableParagraph"/>
              <w:spacing w:before="1"/>
              <w:ind w:left="107"/>
              <w:rPr>
                <w:sz w:val="20"/>
              </w:rPr>
            </w:pPr>
            <w:proofErr w:type="spellStart"/>
            <w:r>
              <w:rPr>
                <w:sz w:val="20"/>
              </w:rPr>
              <w:t>Warul</w:t>
            </w:r>
            <w:proofErr w:type="spellEnd"/>
            <w:r>
              <w:rPr>
                <w:sz w:val="20"/>
              </w:rPr>
              <w:t xml:space="preserve"> Kawa Island</w:t>
            </w:r>
          </w:p>
        </w:tc>
        <w:tc>
          <w:tcPr>
            <w:tcW w:w="1164" w:type="dxa"/>
          </w:tcPr>
          <w:p w14:paraId="3160845F" w14:textId="77777777" w:rsidR="005A7F14" w:rsidRDefault="0031751E">
            <w:pPr>
              <w:pStyle w:val="TableParagraph"/>
              <w:spacing w:before="1"/>
              <w:ind w:left="106" w:right="98"/>
              <w:jc w:val="center"/>
              <w:rPr>
                <w:sz w:val="20"/>
              </w:rPr>
            </w:pPr>
            <w:r>
              <w:rPr>
                <w:sz w:val="20"/>
              </w:rPr>
              <w:t>QLD</w:t>
            </w:r>
          </w:p>
        </w:tc>
        <w:tc>
          <w:tcPr>
            <w:tcW w:w="1179" w:type="dxa"/>
            <w:shd w:val="clear" w:color="auto" w:fill="F4C4FB"/>
          </w:tcPr>
          <w:p w14:paraId="5EC306FA" w14:textId="77777777" w:rsidR="005A7F14" w:rsidRDefault="0031751E">
            <w:pPr>
              <w:pStyle w:val="TableParagraph"/>
              <w:spacing w:before="1"/>
              <w:ind w:left="9"/>
              <w:jc w:val="center"/>
              <w:rPr>
                <w:sz w:val="20"/>
              </w:rPr>
            </w:pPr>
            <w:r>
              <w:rPr>
                <w:w w:val="99"/>
                <w:sz w:val="20"/>
              </w:rPr>
              <w:t>Y</w:t>
            </w:r>
          </w:p>
        </w:tc>
        <w:tc>
          <w:tcPr>
            <w:tcW w:w="835" w:type="dxa"/>
            <w:shd w:val="clear" w:color="auto" w:fill="EEC6DC"/>
          </w:tcPr>
          <w:p w14:paraId="7AEF962F" w14:textId="77777777" w:rsidR="005A7F14" w:rsidRDefault="0031751E">
            <w:pPr>
              <w:pStyle w:val="TableParagraph"/>
              <w:spacing w:before="1"/>
              <w:ind w:left="7"/>
              <w:jc w:val="center"/>
              <w:rPr>
                <w:sz w:val="20"/>
              </w:rPr>
            </w:pPr>
            <w:r>
              <w:rPr>
                <w:w w:val="99"/>
                <w:sz w:val="20"/>
              </w:rPr>
              <w:t>Y</w:t>
            </w:r>
          </w:p>
        </w:tc>
        <w:tc>
          <w:tcPr>
            <w:tcW w:w="1164" w:type="dxa"/>
          </w:tcPr>
          <w:p w14:paraId="54618275" w14:textId="77777777" w:rsidR="005A7F14" w:rsidRDefault="005A7F14">
            <w:pPr>
              <w:pStyle w:val="TableParagraph"/>
              <w:rPr>
                <w:rFonts w:ascii="Times New Roman"/>
                <w:sz w:val="20"/>
              </w:rPr>
            </w:pPr>
          </w:p>
        </w:tc>
        <w:tc>
          <w:tcPr>
            <w:tcW w:w="901" w:type="dxa"/>
          </w:tcPr>
          <w:p w14:paraId="3BD6A63C" w14:textId="77777777" w:rsidR="005A7F14" w:rsidRDefault="005A7F14">
            <w:pPr>
              <w:pStyle w:val="TableParagraph"/>
              <w:rPr>
                <w:rFonts w:ascii="Times New Roman"/>
                <w:sz w:val="20"/>
              </w:rPr>
            </w:pPr>
          </w:p>
        </w:tc>
        <w:tc>
          <w:tcPr>
            <w:tcW w:w="1335" w:type="dxa"/>
          </w:tcPr>
          <w:p w14:paraId="34B41C92" w14:textId="77777777" w:rsidR="005A7F14" w:rsidRDefault="005A7F14">
            <w:pPr>
              <w:pStyle w:val="TableParagraph"/>
              <w:rPr>
                <w:rFonts w:ascii="Times New Roman"/>
                <w:sz w:val="20"/>
              </w:rPr>
            </w:pPr>
          </w:p>
        </w:tc>
      </w:tr>
      <w:tr w:rsidR="005A7F14" w14:paraId="3F09CBD7" w14:textId="77777777">
        <w:trPr>
          <w:trHeight w:val="364"/>
        </w:trPr>
        <w:tc>
          <w:tcPr>
            <w:tcW w:w="756" w:type="dxa"/>
          </w:tcPr>
          <w:p w14:paraId="5B646415" w14:textId="77777777" w:rsidR="005A7F14" w:rsidRDefault="0031751E">
            <w:pPr>
              <w:pStyle w:val="TableParagraph"/>
              <w:spacing w:before="1"/>
              <w:ind w:right="266"/>
              <w:jc w:val="right"/>
              <w:rPr>
                <w:sz w:val="20"/>
              </w:rPr>
            </w:pPr>
            <w:r>
              <w:rPr>
                <w:w w:val="95"/>
                <w:sz w:val="20"/>
              </w:rPr>
              <w:t>13</w:t>
            </w:r>
          </w:p>
        </w:tc>
        <w:tc>
          <w:tcPr>
            <w:tcW w:w="1877" w:type="dxa"/>
          </w:tcPr>
          <w:p w14:paraId="35606740" w14:textId="77777777" w:rsidR="005A7F14" w:rsidRDefault="0031751E">
            <w:pPr>
              <w:pStyle w:val="TableParagraph"/>
              <w:spacing w:before="1"/>
              <w:ind w:left="107"/>
              <w:rPr>
                <w:sz w:val="20"/>
              </w:rPr>
            </w:pPr>
            <w:proofErr w:type="spellStart"/>
            <w:r>
              <w:rPr>
                <w:sz w:val="20"/>
              </w:rPr>
              <w:t>Dhimurru</w:t>
            </w:r>
            <w:proofErr w:type="spellEnd"/>
          </w:p>
        </w:tc>
        <w:tc>
          <w:tcPr>
            <w:tcW w:w="1164" w:type="dxa"/>
          </w:tcPr>
          <w:p w14:paraId="4E65D21F" w14:textId="77777777" w:rsidR="005A7F14" w:rsidRDefault="0031751E">
            <w:pPr>
              <w:pStyle w:val="TableParagraph"/>
              <w:spacing w:before="1"/>
              <w:ind w:left="108" w:right="98"/>
              <w:jc w:val="center"/>
              <w:rPr>
                <w:sz w:val="20"/>
              </w:rPr>
            </w:pPr>
            <w:r>
              <w:rPr>
                <w:sz w:val="20"/>
              </w:rPr>
              <w:t>NT</w:t>
            </w:r>
          </w:p>
        </w:tc>
        <w:tc>
          <w:tcPr>
            <w:tcW w:w="1179" w:type="dxa"/>
            <w:shd w:val="clear" w:color="auto" w:fill="F4C4FB"/>
          </w:tcPr>
          <w:p w14:paraId="333AE13B" w14:textId="77777777" w:rsidR="005A7F14" w:rsidRDefault="0031751E">
            <w:pPr>
              <w:pStyle w:val="TableParagraph"/>
              <w:spacing w:before="1"/>
              <w:ind w:left="9"/>
              <w:jc w:val="center"/>
              <w:rPr>
                <w:sz w:val="20"/>
              </w:rPr>
            </w:pPr>
            <w:r>
              <w:rPr>
                <w:w w:val="99"/>
                <w:sz w:val="20"/>
              </w:rPr>
              <w:t>Y</w:t>
            </w:r>
          </w:p>
        </w:tc>
        <w:tc>
          <w:tcPr>
            <w:tcW w:w="835" w:type="dxa"/>
          </w:tcPr>
          <w:p w14:paraId="74DF5279" w14:textId="77777777" w:rsidR="005A7F14" w:rsidRDefault="005A7F14">
            <w:pPr>
              <w:pStyle w:val="TableParagraph"/>
              <w:rPr>
                <w:rFonts w:ascii="Times New Roman"/>
                <w:sz w:val="20"/>
              </w:rPr>
            </w:pPr>
          </w:p>
        </w:tc>
        <w:tc>
          <w:tcPr>
            <w:tcW w:w="1164" w:type="dxa"/>
            <w:shd w:val="clear" w:color="auto" w:fill="BED5FF"/>
          </w:tcPr>
          <w:p w14:paraId="366BD515" w14:textId="77777777" w:rsidR="005A7F14" w:rsidRDefault="0031751E">
            <w:pPr>
              <w:pStyle w:val="TableParagraph"/>
              <w:spacing w:before="1"/>
              <w:ind w:left="5"/>
              <w:jc w:val="center"/>
              <w:rPr>
                <w:sz w:val="20"/>
              </w:rPr>
            </w:pPr>
            <w:r>
              <w:rPr>
                <w:w w:val="99"/>
                <w:sz w:val="20"/>
              </w:rPr>
              <w:t>Y</w:t>
            </w:r>
          </w:p>
        </w:tc>
        <w:tc>
          <w:tcPr>
            <w:tcW w:w="901" w:type="dxa"/>
            <w:shd w:val="clear" w:color="auto" w:fill="E7FFBD"/>
          </w:tcPr>
          <w:p w14:paraId="61DA5A79" w14:textId="77777777" w:rsidR="005A7F14" w:rsidRDefault="0031751E">
            <w:pPr>
              <w:pStyle w:val="TableParagraph"/>
              <w:spacing w:before="1"/>
              <w:ind w:left="10"/>
              <w:jc w:val="center"/>
              <w:rPr>
                <w:sz w:val="20"/>
              </w:rPr>
            </w:pPr>
            <w:r>
              <w:rPr>
                <w:w w:val="99"/>
                <w:sz w:val="20"/>
              </w:rPr>
              <w:t>Y</w:t>
            </w:r>
          </w:p>
        </w:tc>
        <w:tc>
          <w:tcPr>
            <w:tcW w:w="1335" w:type="dxa"/>
          </w:tcPr>
          <w:p w14:paraId="10CDB79D" w14:textId="77777777" w:rsidR="005A7F14" w:rsidRDefault="005A7F14">
            <w:pPr>
              <w:pStyle w:val="TableParagraph"/>
              <w:rPr>
                <w:rFonts w:ascii="Times New Roman"/>
                <w:sz w:val="20"/>
              </w:rPr>
            </w:pPr>
          </w:p>
        </w:tc>
      </w:tr>
      <w:tr w:rsidR="005A7F14" w14:paraId="0FBFD3AC" w14:textId="77777777">
        <w:trPr>
          <w:trHeight w:val="364"/>
        </w:trPr>
        <w:tc>
          <w:tcPr>
            <w:tcW w:w="756" w:type="dxa"/>
          </w:tcPr>
          <w:p w14:paraId="75DDCDB8" w14:textId="77777777" w:rsidR="005A7F14" w:rsidRDefault="0031751E">
            <w:pPr>
              <w:pStyle w:val="TableParagraph"/>
              <w:spacing w:before="1"/>
              <w:ind w:right="266"/>
              <w:jc w:val="right"/>
              <w:rPr>
                <w:sz w:val="20"/>
              </w:rPr>
            </w:pPr>
            <w:r>
              <w:rPr>
                <w:w w:val="95"/>
                <w:sz w:val="20"/>
              </w:rPr>
              <w:t>15</w:t>
            </w:r>
          </w:p>
        </w:tc>
        <w:tc>
          <w:tcPr>
            <w:tcW w:w="1877" w:type="dxa"/>
          </w:tcPr>
          <w:p w14:paraId="592A0B25" w14:textId="77777777" w:rsidR="005A7F14" w:rsidRDefault="0031751E">
            <w:pPr>
              <w:pStyle w:val="TableParagraph"/>
              <w:spacing w:before="1"/>
              <w:ind w:left="107"/>
              <w:rPr>
                <w:sz w:val="20"/>
              </w:rPr>
            </w:pPr>
            <w:r>
              <w:rPr>
                <w:sz w:val="20"/>
              </w:rPr>
              <w:t>Mount Willoughby</w:t>
            </w:r>
          </w:p>
        </w:tc>
        <w:tc>
          <w:tcPr>
            <w:tcW w:w="1164" w:type="dxa"/>
          </w:tcPr>
          <w:p w14:paraId="3CFA7BA9" w14:textId="77777777" w:rsidR="005A7F14" w:rsidRDefault="0031751E">
            <w:pPr>
              <w:pStyle w:val="TableParagraph"/>
              <w:spacing w:before="1"/>
              <w:ind w:left="108" w:right="98"/>
              <w:jc w:val="center"/>
              <w:rPr>
                <w:sz w:val="20"/>
              </w:rPr>
            </w:pPr>
            <w:r>
              <w:rPr>
                <w:sz w:val="20"/>
              </w:rPr>
              <w:t>SA</w:t>
            </w:r>
          </w:p>
        </w:tc>
        <w:tc>
          <w:tcPr>
            <w:tcW w:w="1179" w:type="dxa"/>
          </w:tcPr>
          <w:p w14:paraId="7066C77A" w14:textId="77777777" w:rsidR="005A7F14" w:rsidRDefault="005A7F14">
            <w:pPr>
              <w:pStyle w:val="TableParagraph"/>
              <w:rPr>
                <w:rFonts w:ascii="Times New Roman"/>
                <w:sz w:val="20"/>
              </w:rPr>
            </w:pPr>
          </w:p>
        </w:tc>
        <w:tc>
          <w:tcPr>
            <w:tcW w:w="835" w:type="dxa"/>
          </w:tcPr>
          <w:p w14:paraId="31FF7F4B" w14:textId="77777777" w:rsidR="005A7F14" w:rsidRDefault="005A7F14">
            <w:pPr>
              <w:pStyle w:val="TableParagraph"/>
              <w:rPr>
                <w:rFonts w:ascii="Times New Roman"/>
                <w:sz w:val="20"/>
              </w:rPr>
            </w:pPr>
          </w:p>
        </w:tc>
        <w:tc>
          <w:tcPr>
            <w:tcW w:w="1164" w:type="dxa"/>
            <w:shd w:val="clear" w:color="auto" w:fill="BED5FF"/>
          </w:tcPr>
          <w:p w14:paraId="31C33058" w14:textId="77777777" w:rsidR="005A7F14" w:rsidRDefault="0031751E">
            <w:pPr>
              <w:pStyle w:val="TableParagraph"/>
              <w:spacing w:before="1"/>
              <w:ind w:left="5"/>
              <w:jc w:val="center"/>
              <w:rPr>
                <w:sz w:val="20"/>
              </w:rPr>
            </w:pPr>
            <w:r>
              <w:rPr>
                <w:w w:val="99"/>
                <w:sz w:val="20"/>
              </w:rPr>
              <w:t>Y</w:t>
            </w:r>
          </w:p>
        </w:tc>
        <w:tc>
          <w:tcPr>
            <w:tcW w:w="901" w:type="dxa"/>
          </w:tcPr>
          <w:p w14:paraId="2822807A" w14:textId="77777777" w:rsidR="005A7F14" w:rsidRDefault="005A7F14">
            <w:pPr>
              <w:pStyle w:val="TableParagraph"/>
              <w:rPr>
                <w:rFonts w:ascii="Times New Roman"/>
                <w:sz w:val="20"/>
              </w:rPr>
            </w:pPr>
          </w:p>
        </w:tc>
        <w:tc>
          <w:tcPr>
            <w:tcW w:w="1335" w:type="dxa"/>
          </w:tcPr>
          <w:p w14:paraId="4EA7A05C" w14:textId="77777777" w:rsidR="005A7F14" w:rsidRDefault="005A7F14">
            <w:pPr>
              <w:pStyle w:val="TableParagraph"/>
              <w:rPr>
                <w:rFonts w:ascii="Times New Roman"/>
                <w:sz w:val="20"/>
              </w:rPr>
            </w:pPr>
          </w:p>
        </w:tc>
      </w:tr>
      <w:tr w:rsidR="005A7F14" w14:paraId="28D96082" w14:textId="77777777">
        <w:trPr>
          <w:trHeight w:val="364"/>
        </w:trPr>
        <w:tc>
          <w:tcPr>
            <w:tcW w:w="756" w:type="dxa"/>
          </w:tcPr>
          <w:p w14:paraId="4D2836B0" w14:textId="77777777" w:rsidR="005A7F14" w:rsidRDefault="0031751E">
            <w:pPr>
              <w:pStyle w:val="TableParagraph"/>
              <w:spacing w:before="1"/>
              <w:ind w:right="266"/>
              <w:jc w:val="right"/>
              <w:rPr>
                <w:sz w:val="20"/>
              </w:rPr>
            </w:pPr>
            <w:r>
              <w:rPr>
                <w:w w:val="95"/>
                <w:sz w:val="20"/>
              </w:rPr>
              <w:t>17</w:t>
            </w:r>
          </w:p>
        </w:tc>
        <w:tc>
          <w:tcPr>
            <w:tcW w:w="1877" w:type="dxa"/>
          </w:tcPr>
          <w:p w14:paraId="1AC6E98A" w14:textId="77777777" w:rsidR="005A7F14" w:rsidRDefault="0031751E">
            <w:pPr>
              <w:pStyle w:val="TableParagraph"/>
              <w:spacing w:before="1"/>
              <w:ind w:left="107"/>
              <w:rPr>
                <w:sz w:val="20"/>
              </w:rPr>
            </w:pPr>
            <w:proofErr w:type="spellStart"/>
            <w:r>
              <w:rPr>
                <w:sz w:val="20"/>
              </w:rPr>
              <w:t>Ngaanyatjarra</w:t>
            </w:r>
            <w:proofErr w:type="spellEnd"/>
          </w:p>
        </w:tc>
        <w:tc>
          <w:tcPr>
            <w:tcW w:w="1164" w:type="dxa"/>
          </w:tcPr>
          <w:p w14:paraId="5BFA0050" w14:textId="77777777" w:rsidR="005A7F14" w:rsidRDefault="0031751E">
            <w:pPr>
              <w:pStyle w:val="TableParagraph"/>
              <w:spacing w:before="1"/>
              <w:ind w:left="105" w:right="98"/>
              <w:jc w:val="center"/>
              <w:rPr>
                <w:sz w:val="20"/>
              </w:rPr>
            </w:pPr>
            <w:r>
              <w:rPr>
                <w:sz w:val="20"/>
              </w:rPr>
              <w:t>WA</w:t>
            </w:r>
          </w:p>
        </w:tc>
        <w:tc>
          <w:tcPr>
            <w:tcW w:w="1179" w:type="dxa"/>
          </w:tcPr>
          <w:p w14:paraId="20EAEB36" w14:textId="77777777" w:rsidR="005A7F14" w:rsidRDefault="005A7F14">
            <w:pPr>
              <w:pStyle w:val="TableParagraph"/>
              <w:rPr>
                <w:rFonts w:ascii="Times New Roman"/>
                <w:sz w:val="20"/>
              </w:rPr>
            </w:pPr>
          </w:p>
        </w:tc>
        <w:tc>
          <w:tcPr>
            <w:tcW w:w="835" w:type="dxa"/>
          </w:tcPr>
          <w:p w14:paraId="6F4E2A8A" w14:textId="77777777" w:rsidR="005A7F14" w:rsidRDefault="005A7F14">
            <w:pPr>
              <w:pStyle w:val="TableParagraph"/>
              <w:rPr>
                <w:rFonts w:ascii="Times New Roman"/>
                <w:sz w:val="20"/>
              </w:rPr>
            </w:pPr>
          </w:p>
        </w:tc>
        <w:tc>
          <w:tcPr>
            <w:tcW w:w="1164" w:type="dxa"/>
            <w:shd w:val="clear" w:color="auto" w:fill="BED5FF"/>
          </w:tcPr>
          <w:p w14:paraId="24C2EB9E" w14:textId="77777777" w:rsidR="005A7F14" w:rsidRDefault="0031751E">
            <w:pPr>
              <w:pStyle w:val="TableParagraph"/>
              <w:spacing w:before="1"/>
              <w:ind w:left="5"/>
              <w:jc w:val="center"/>
              <w:rPr>
                <w:sz w:val="20"/>
              </w:rPr>
            </w:pPr>
            <w:r>
              <w:rPr>
                <w:w w:val="99"/>
                <w:sz w:val="20"/>
              </w:rPr>
              <w:t>Y</w:t>
            </w:r>
          </w:p>
        </w:tc>
        <w:tc>
          <w:tcPr>
            <w:tcW w:w="901" w:type="dxa"/>
          </w:tcPr>
          <w:p w14:paraId="64D5CD0F" w14:textId="77777777" w:rsidR="005A7F14" w:rsidRDefault="005A7F14">
            <w:pPr>
              <w:pStyle w:val="TableParagraph"/>
              <w:rPr>
                <w:rFonts w:ascii="Times New Roman"/>
                <w:sz w:val="20"/>
              </w:rPr>
            </w:pPr>
          </w:p>
        </w:tc>
        <w:tc>
          <w:tcPr>
            <w:tcW w:w="1335" w:type="dxa"/>
          </w:tcPr>
          <w:p w14:paraId="7928AF48" w14:textId="77777777" w:rsidR="005A7F14" w:rsidRDefault="005A7F14">
            <w:pPr>
              <w:pStyle w:val="TableParagraph"/>
              <w:rPr>
                <w:rFonts w:ascii="Times New Roman"/>
                <w:sz w:val="20"/>
              </w:rPr>
            </w:pPr>
          </w:p>
        </w:tc>
      </w:tr>
      <w:tr w:rsidR="005A7F14" w14:paraId="15B02D6D" w14:textId="77777777">
        <w:trPr>
          <w:trHeight w:val="365"/>
        </w:trPr>
        <w:tc>
          <w:tcPr>
            <w:tcW w:w="756" w:type="dxa"/>
          </w:tcPr>
          <w:p w14:paraId="36581EBD" w14:textId="77777777" w:rsidR="005A7F14" w:rsidRDefault="0031751E">
            <w:pPr>
              <w:pStyle w:val="TableParagraph"/>
              <w:spacing w:before="2"/>
              <w:ind w:right="266"/>
              <w:jc w:val="right"/>
              <w:rPr>
                <w:sz w:val="20"/>
              </w:rPr>
            </w:pPr>
            <w:r>
              <w:rPr>
                <w:w w:val="95"/>
                <w:sz w:val="20"/>
              </w:rPr>
              <w:t>18</w:t>
            </w:r>
          </w:p>
        </w:tc>
        <w:tc>
          <w:tcPr>
            <w:tcW w:w="1877" w:type="dxa"/>
          </w:tcPr>
          <w:p w14:paraId="6DA00562" w14:textId="77777777" w:rsidR="005A7F14" w:rsidRDefault="0031751E">
            <w:pPr>
              <w:pStyle w:val="TableParagraph"/>
              <w:spacing w:before="2"/>
              <w:ind w:left="107"/>
              <w:rPr>
                <w:sz w:val="20"/>
              </w:rPr>
            </w:pPr>
            <w:r>
              <w:rPr>
                <w:sz w:val="20"/>
              </w:rPr>
              <w:t>Tyrendarra</w:t>
            </w:r>
          </w:p>
        </w:tc>
        <w:tc>
          <w:tcPr>
            <w:tcW w:w="1164" w:type="dxa"/>
          </w:tcPr>
          <w:p w14:paraId="2EFB80CE" w14:textId="77777777" w:rsidR="005A7F14" w:rsidRDefault="0031751E">
            <w:pPr>
              <w:pStyle w:val="TableParagraph"/>
              <w:spacing w:before="2"/>
              <w:ind w:left="107" w:right="98"/>
              <w:jc w:val="center"/>
              <w:rPr>
                <w:sz w:val="20"/>
              </w:rPr>
            </w:pPr>
            <w:r>
              <w:rPr>
                <w:sz w:val="20"/>
              </w:rPr>
              <w:t>VIC</w:t>
            </w:r>
          </w:p>
        </w:tc>
        <w:tc>
          <w:tcPr>
            <w:tcW w:w="1179" w:type="dxa"/>
          </w:tcPr>
          <w:p w14:paraId="01893096" w14:textId="77777777" w:rsidR="005A7F14" w:rsidRDefault="005A7F14">
            <w:pPr>
              <w:pStyle w:val="TableParagraph"/>
              <w:rPr>
                <w:rFonts w:ascii="Times New Roman"/>
                <w:sz w:val="20"/>
              </w:rPr>
            </w:pPr>
          </w:p>
        </w:tc>
        <w:tc>
          <w:tcPr>
            <w:tcW w:w="835" w:type="dxa"/>
            <w:shd w:val="clear" w:color="auto" w:fill="EEC6DC"/>
          </w:tcPr>
          <w:p w14:paraId="0719A47E" w14:textId="77777777" w:rsidR="005A7F14" w:rsidRDefault="0031751E">
            <w:pPr>
              <w:pStyle w:val="TableParagraph"/>
              <w:spacing w:before="2"/>
              <w:ind w:left="7"/>
              <w:jc w:val="center"/>
              <w:rPr>
                <w:sz w:val="20"/>
              </w:rPr>
            </w:pPr>
            <w:r>
              <w:rPr>
                <w:w w:val="99"/>
                <w:sz w:val="20"/>
              </w:rPr>
              <w:t>Y</w:t>
            </w:r>
          </w:p>
        </w:tc>
        <w:tc>
          <w:tcPr>
            <w:tcW w:w="1164" w:type="dxa"/>
            <w:shd w:val="clear" w:color="auto" w:fill="BED5FF"/>
          </w:tcPr>
          <w:p w14:paraId="7DC81983" w14:textId="77777777" w:rsidR="005A7F14" w:rsidRDefault="0031751E">
            <w:pPr>
              <w:pStyle w:val="TableParagraph"/>
              <w:spacing w:before="2"/>
              <w:ind w:left="5"/>
              <w:jc w:val="center"/>
              <w:rPr>
                <w:sz w:val="20"/>
              </w:rPr>
            </w:pPr>
            <w:r>
              <w:rPr>
                <w:w w:val="99"/>
                <w:sz w:val="20"/>
              </w:rPr>
              <w:t>Y</w:t>
            </w:r>
          </w:p>
        </w:tc>
        <w:tc>
          <w:tcPr>
            <w:tcW w:w="901" w:type="dxa"/>
          </w:tcPr>
          <w:p w14:paraId="0087B496" w14:textId="77777777" w:rsidR="005A7F14" w:rsidRDefault="005A7F14">
            <w:pPr>
              <w:pStyle w:val="TableParagraph"/>
              <w:rPr>
                <w:rFonts w:ascii="Times New Roman"/>
                <w:sz w:val="20"/>
              </w:rPr>
            </w:pPr>
          </w:p>
        </w:tc>
        <w:tc>
          <w:tcPr>
            <w:tcW w:w="1335" w:type="dxa"/>
          </w:tcPr>
          <w:p w14:paraId="71278F45" w14:textId="77777777" w:rsidR="005A7F14" w:rsidRDefault="005A7F14">
            <w:pPr>
              <w:pStyle w:val="TableParagraph"/>
              <w:rPr>
                <w:rFonts w:ascii="Times New Roman"/>
                <w:sz w:val="20"/>
              </w:rPr>
            </w:pPr>
          </w:p>
        </w:tc>
      </w:tr>
      <w:tr w:rsidR="005A7F14" w14:paraId="3931E546" w14:textId="77777777">
        <w:trPr>
          <w:trHeight w:val="364"/>
        </w:trPr>
        <w:tc>
          <w:tcPr>
            <w:tcW w:w="756" w:type="dxa"/>
          </w:tcPr>
          <w:p w14:paraId="22CB6812" w14:textId="77777777" w:rsidR="005A7F14" w:rsidRDefault="0031751E">
            <w:pPr>
              <w:pStyle w:val="TableParagraph"/>
              <w:spacing w:before="1"/>
              <w:ind w:right="266"/>
              <w:jc w:val="right"/>
              <w:rPr>
                <w:sz w:val="20"/>
              </w:rPr>
            </w:pPr>
            <w:r>
              <w:rPr>
                <w:w w:val="95"/>
                <w:sz w:val="20"/>
              </w:rPr>
              <w:t>20</w:t>
            </w:r>
          </w:p>
        </w:tc>
        <w:tc>
          <w:tcPr>
            <w:tcW w:w="1877" w:type="dxa"/>
          </w:tcPr>
          <w:p w14:paraId="70643A3A" w14:textId="77777777" w:rsidR="005A7F14" w:rsidRDefault="0031751E">
            <w:pPr>
              <w:pStyle w:val="TableParagraph"/>
              <w:spacing w:before="1"/>
              <w:ind w:left="107"/>
              <w:rPr>
                <w:sz w:val="20"/>
              </w:rPr>
            </w:pPr>
            <w:r>
              <w:rPr>
                <w:sz w:val="20"/>
              </w:rPr>
              <w:t>Anindilyakwa</w:t>
            </w:r>
          </w:p>
        </w:tc>
        <w:tc>
          <w:tcPr>
            <w:tcW w:w="1164" w:type="dxa"/>
          </w:tcPr>
          <w:p w14:paraId="501AAC0B" w14:textId="77777777" w:rsidR="005A7F14" w:rsidRDefault="0031751E">
            <w:pPr>
              <w:pStyle w:val="TableParagraph"/>
              <w:spacing w:before="1"/>
              <w:ind w:left="108" w:right="98"/>
              <w:jc w:val="center"/>
              <w:rPr>
                <w:sz w:val="20"/>
              </w:rPr>
            </w:pPr>
            <w:r>
              <w:rPr>
                <w:sz w:val="20"/>
              </w:rPr>
              <w:t>NT</w:t>
            </w:r>
          </w:p>
        </w:tc>
        <w:tc>
          <w:tcPr>
            <w:tcW w:w="1179" w:type="dxa"/>
            <w:shd w:val="clear" w:color="auto" w:fill="F4C4FB"/>
          </w:tcPr>
          <w:p w14:paraId="2A470E45" w14:textId="77777777" w:rsidR="005A7F14" w:rsidRDefault="0031751E">
            <w:pPr>
              <w:pStyle w:val="TableParagraph"/>
              <w:spacing w:before="1"/>
              <w:ind w:left="9"/>
              <w:jc w:val="center"/>
              <w:rPr>
                <w:sz w:val="20"/>
              </w:rPr>
            </w:pPr>
            <w:r>
              <w:rPr>
                <w:w w:val="99"/>
                <w:sz w:val="20"/>
              </w:rPr>
              <w:t>Y</w:t>
            </w:r>
          </w:p>
        </w:tc>
        <w:tc>
          <w:tcPr>
            <w:tcW w:w="835" w:type="dxa"/>
          </w:tcPr>
          <w:p w14:paraId="02FB329B" w14:textId="77777777" w:rsidR="005A7F14" w:rsidRDefault="005A7F14">
            <w:pPr>
              <w:pStyle w:val="TableParagraph"/>
              <w:rPr>
                <w:rFonts w:ascii="Times New Roman"/>
                <w:sz w:val="20"/>
              </w:rPr>
            </w:pPr>
          </w:p>
        </w:tc>
        <w:tc>
          <w:tcPr>
            <w:tcW w:w="1164" w:type="dxa"/>
            <w:shd w:val="clear" w:color="auto" w:fill="BED5FF"/>
          </w:tcPr>
          <w:p w14:paraId="79D106FF" w14:textId="77777777" w:rsidR="005A7F14" w:rsidRDefault="0031751E">
            <w:pPr>
              <w:pStyle w:val="TableParagraph"/>
              <w:spacing w:before="1"/>
              <w:ind w:left="5"/>
              <w:jc w:val="center"/>
              <w:rPr>
                <w:sz w:val="20"/>
              </w:rPr>
            </w:pPr>
            <w:r>
              <w:rPr>
                <w:w w:val="99"/>
                <w:sz w:val="20"/>
              </w:rPr>
              <w:t>Y</w:t>
            </w:r>
          </w:p>
        </w:tc>
        <w:tc>
          <w:tcPr>
            <w:tcW w:w="901" w:type="dxa"/>
            <w:shd w:val="clear" w:color="auto" w:fill="E7FFBD"/>
          </w:tcPr>
          <w:p w14:paraId="630668A9" w14:textId="77777777" w:rsidR="005A7F14" w:rsidRDefault="0031751E">
            <w:pPr>
              <w:pStyle w:val="TableParagraph"/>
              <w:spacing w:before="1"/>
              <w:ind w:left="10"/>
              <w:jc w:val="center"/>
              <w:rPr>
                <w:sz w:val="20"/>
              </w:rPr>
            </w:pPr>
            <w:r>
              <w:rPr>
                <w:w w:val="99"/>
                <w:sz w:val="20"/>
              </w:rPr>
              <w:t>Y</w:t>
            </w:r>
          </w:p>
        </w:tc>
        <w:tc>
          <w:tcPr>
            <w:tcW w:w="1335" w:type="dxa"/>
          </w:tcPr>
          <w:p w14:paraId="07EA0E43" w14:textId="77777777" w:rsidR="005A7F14" w:rsidRDefault="005A7F14">
            <w:pPr>
              <w:pStyle w:val="TableParagraph"/>
              <w:rPr>
                <w:rFonts w:ascii="Times New Roman"/>
                <w:sz w:val="20"/>
              </w:rPr>
            </w:pPr>
          </w:p>
        </w:tc>
      </w:tr>
      <w:tr w:rsidR="005A7F14" w14:paraId="53FEF47F" w14:textId="77777777">
        <w:trPr>
          <w:trHeight w:val="361"/>
        </w:trPr>
        <w:tc>
          <w:tcPr>
            <w:tcW w:w="756" w:type="dxa"/>
          </w:tcPr>
          <w:p w14:paraId="4A358C77" w14:textId="77777777" w:rsidR="005A7F14" w:rsidRDefault="0031751E">
            <w:pPr>
              <w:pStyle w:val="TableParagraph"/>
              <w:spacing w:before="1"/>
              <w:ind w:right="266"/>
              <w:jc w:val="right"/>
              <w:rPr>
                <w:sz w:val="20"/>
              </w:rPr>
            </w:pPr>
            <w:r>
              <w:rPr>
                <w:w w:val="95"/>
                <w:sz w:val="20"/>
              </w:rPr>
              <w:t>21</w:t>
            </w:r>
          </w:p>
        </w:tc>
        <w:tc>
          <w:tcPr>
            <w:tcW w:w="1877" w:type="dxa"/>
          </w:tcPr>
          <w:p w14:paraId="035A8980" w14:textId="77777777" w:rsidR="005A7F14" w:rsidRDefault="0031751E">
            <w:pPr>
              <w:pStyle w:val="TableParagraph"/>
              <w:spacing w:before="1"/>
              <w:ind w:left="107"/>
              <w:rPr>
                <w:sz w:val="20"/>
              </w:rPr>
            </w:pPr>
            <w:proofErr w:type="spellStart"/>
            <w:r>
              <w:rPr>
                <w:sz w:val="20"/>
              </w:rPr>
              <w:t>Laynhapuy</w:t>
            </w:r>
            <w:proofErr w:type="spellEnd"/>
          </w:p>
        </w:tc>
        <w:tc>
          <w:tcPr>
            <w:tcW w:w="1164" w:type="dxa"/>
          </w:tcPr>
          <w:p w14:paraId="4359A5ED" w14:textId="77777777" w:rsidR="005A7F14" w:rsidRDefault="0031751E">
            <w:pPr>
              <w:pStyle w:val="TableParagraph"/>
              <w:spacing w:before="1"/>
              <w:ind w:left="108" w:right="98"/>
              <w:jc w:val="center"/>
              <w:rPr>
                <w:sz w:val="20"/>
              </w:rPr>
            </w:pPr>
            <w:r>
              <w:rPr>
                <w:sz w:val="20"/>
              </w:rPr>
              <w:t>NT</w:t>
            </w:r>
          </w:p>
        </w:tc>
        <w:tc>
          <w:tcPr>
            <w:tcW w:w="1179" w:type="dxa"/>
            <w:shd w:val="clear" w:color="auto" w:fill="F4C4FB"/>
          </w:tcPr>
          <w:p w14:paraId="613F584D" w14:textId="77777777" w:rsidR="005A7F14" w:rsidRDefault="0031751E">
            <w:pPr>
              <w:pStyle w:val="TableParagraph"/>
              <w:spacing w:before="1"/>
              <w:ind w:left="9"/>
              <w:jc w:val="center"/>
              <w:rPr>
                <w:sz w:val="20"/>
              </w:rPr>
            </w:pPr>
            <w:r>
              <w:rPr>
                <w:w w:val="99"/>
                <w:sz w:val="20"/>
              </w:rPr>
              <w:t>Y</w:t>
            </w:r>
          </w:p>
        </w:tc>
        <w:tc>
          <w:tcPr>
            <w:tcW w:w="835" w:type="dxa"/>
            <w:shd w:val="clear" w:color="auto" w:fill="EEC6DC"/>
          </w:tcPr>
          <w:p w14:paraId="562B6EB1" w14:textId="77777777" w:rsidR="005A7F14" w:rsidRDefault="0031751E">
            <w:pPr>
              <w:pStyle w:val="TableParagraph"/>
              <w:spacing w:before="1"/>
              <w:ind w:left="7"/>
              <w:jc w:val="center"/>
              <w:rPr>
                <w:sz w:val="20"/>
              </w:rPr>
            </w:pPr>
            <w:r>
              <w:rPr>
                <w:w w:val="99"/>
                <w:sz w:val="20"/>
              </w:rPr>
              <w:t>Y</w:t>
            </w:r>
          </w:p>
        </w:tc>
        <w:tc>
          <w:tcPr>
            <w:tcW w:w="1164" w:type="dxa"/>
            <w:shd w:val="clear" w:color="auto" w:fill="BED5FF"/>
          </w:tcPr>
          <w:p w14:paraId="5B426BA5" w14:textId="77777777" w:rsidR="005A7F14" w:rsidRDefault="0031751E">
            <w:pPr>
              <w:pStyle w:val="TableParagraph"/>
              <w:spacing w:before="1"/>
              <w:ind w:left="5"/>
              <w:jc w:val="center"/>
              <w:rPr>
                <w:sz w:val="20"/>
              </w:rPr>
            </w:pPr>
            <w:r>
              <w:rPr>
                <w:w w:val="99"/>
                <w:sz w:val="20"/>
              </w:rPr>
              <w:t>Y</w:t>
            </w:r>
          </w:p>
        </w:tc>
        <w:tc>
          <w:tcPr>
            <w:tcW w:w="901" w:type="dxa"/>
          </w:tcPr>
          <w:p w14:paraId="1E286FA3" w14:textId="77777777" w:rsidR="005A7F14" w:rsidRDefault="005A7F14">
            <w:pPr>
              <w:pStyle w:val="TableParagraph"/>
              <w:rPr>
                <w:rFonts w:ascii="Times New Roman"/>
                <w:sz w:val="20"/>
              </w:rPr>
            </w:pPr>
          </w:p>
        </w:tc>
        <w:tc>
          <w:tcPr>
            <w:tcW w:w="1335" w:type="dxa"/>
          </w:tcPr>
          <w:p w14:paraId="104F79C3" w14:textId="77777777" w:rsidR="005A7F14" w:rsidRDefault="005A7F14">
            <w:pPr>
              <w:pStyle w:val="TableParagraph"/>
              <w:rPr>
                <w:rFonts w:ascii="Times New Roman"/>
                <w:sz w:val="20"/>
              </w:rPr>
            </w:pPr>
          </w:p>
        </w:tc>
      </w:tr>
      <w:tr w:rsidR="005A7F14" w14:paraId="5ADCEDFE" w14:textId="77777777">
        <w:trPr>
          <w:trHeight w:val="364"/>
        </w:trPr>
        <w:tc>
          <w:tcPr>
            <w:tcW w:w="756" w:type="dxa"/>
          </w:tcPr>
          <w:p w14:paraId="76F690FD" w14:textId="77777777" w:rsidR="005A7F14" w:rsidRDefault="0031751E">
            <w:pPr>
              <w:pStyle w:val="TableParagraph"/>
              <w:spacing w:before="3"/>
              <w:ind w:right="266"/>
              <w:jc w:val="right"/>
              <w:rPr>
                <w:sz w:val="20"/>
              </w:rPr>
            </w:pPr>
            <w:r>
              <w:rPr>
                <w:w w:val="95"/>
                <w:sz w:val="20"/>
              </w:rPr>
              <w:t>23</w:t>
            </w:r>
          </w:p>
        </w:tc>
        <w:tc>
          <w:tcPr>
            <w:tcW w:w="1877" w:type="dxa"/>
          </w:tcPr>
          <w:p w14:paraId="6C25267B" w14:textId="77777777" w:rsidR="005A7F14" w:rsidRDefault="0031751E">
            <w:pPr>
              <w:pStyle w:val="TableParagraph"/>
              <w:spacing w:before="3"/>
              <w:ind w:left="107"/>
              <w:rPr>
                <w:sz w:val="20"/>
              </w:rPr>
            </w:pPr>
            <w:r>
              <w:rPr>
                <w:sz w:val="20"/>
              </w:rPr>
              <w:t>Northern Tanami</w:t>
            </w:r>
          </w:p>
        </w:tc>
        <w:tc>
          <w:tcPr>
            <w:tcW w:w="1164" w:type="dxa"/>
          </w:tcPr>
          <w:p w14:paraId="68421E2A" w14:textId="77777777" w:rsidR="005A7F14" w:rsidRDefault="0031751E">
            <w:pPr>
              <w:pStyle w:val="TableParagraph"/>
              <w:spacing w:before="3"/>
              <w:ind w:left="108" w:right="98"/>
              <w:jc w:val="center"/>
              <w:rPr>
                <w:sz w:val="20"/>
              </w:rPr>
            </w:pPr>
            <w:r>
              <w:rPr>
                <w:sz w:val="20"/>
              </w:rPr>
              <w:t>NT</w:t>
            </w:r>
          </w:p>
        </w:tc>
        <w:tc>
          <w:tcPr>
            <w:tcW w:w="1179" w:type="dxa"/>
          </w:tcPr>
          <w:p w14:paraId="4B8C173C" w14:textId="77777777" w:rsidR="005A7F14" w:rsidRDefault="005A7F14">
            <w:pPr>
              <w:pStyle w:val="TableParagraph"/>
              <w:rPr>
                <w:rFonts w:ascii="Times New Roman"/>
                <w:sz w:val="20"/>
              </w:rPr>
            </w:pPr>
          </w:p>
        </w:tc>
        <w:tc>
          <w:tcPr>
            <w:tcW w:w="835" w:type="dxa"/>
          </w:tcPr>
          <w:p w14:paraId="58643ACD" w14:textId="77777777" w:rsidR="005A7F14" w:rsidRDefault="005A7F14">
            <w:pPr>
              <w:pStyle w:val="TableParagraph"/>
              <w:rPr>
                <w:rFonts w:ascii="Times New Roman"/>
                <w:sz w:val="20"/>
              </w:rPr>
            </w:pPr>
          </w:p>
        </w:tc>
        <w:tc>
          <w:tcPr>
            <w:tcW w:w="1164" w:type="dxa"/>
            <w:shd w:val="clear" w:color="auto" w:fill="BED5FF"/>
          </w:tcPr>
          <w:p w14:paraId="1830BACB" w14:textId="77777777" w:rsidR="005A7F14" w:rsidRDefault="0031751E">
            <w:pPr>
              <w:pStyle w:val="TableParagraph"/>
              <w:spacing w:before="3"/>
              <w:ind w:left="5"/>
              <w:jc w:val="center"/>
              <w:rPr>
                <w:sz w:val="20"/>
              </w:rPr>
            </w:pPr>
            <w:r>
              <w:rPr>
                <w:w w:val="99"/>
                <w:sz w:val="20"/>
              </w:rPr>
              <w:t>Y</w:t>
            </w:r>
          </w:p>
        </w:tc>
        <w:tc>
          <w:tcPr>
            <w:tcW w:w="901" w:type="dxa"/>
            <w:shd w:val="clear" w:color="auto" w:fill="E7FFBD"/>
          </w:tcPr>
          <w:p w14:paraId="207ABBF0" w14:textId="77777777" w:rsidR="005A7F14" w:rsidRDefault="0031751E">
            <w:pPr>
              <w:pStyle w:val="TableParagraph"/>
              <w:spacing w:before="3"/>
              <w:ind w:left="10"/>
              <w:jc w:val="center"/>
              <w:rPr>
                <w:sz w:val="20"/>
              </w:rPr>
            </w:pPr>
            <w:r>
              <w:rPr>
                <w:w w:val="99"/>
                <w:sz w:val="20"/>
              </w:rPr>
              <w:t>Y</w:t>
            </w:r>
          </w:p>
        </w:tc>
        <w:tc>
          <w:tcPr>
            <w:tcW w:w="1335" w:type="dxa"/>
          </w:tcPr>
          <w:p w14:paraId="1F88B6E3" w14:textId="77777777" w:rsidR="005A7F14" w:rsidRDefault="005A7F14">
            <w:pPr>
              <w:pStyle w:val="TableParagraph"/>
              <w:rPr>
                <w:rFonts w:ascii="Times New Roman"/>
                <w:sz w:val="20"/>
              </w:rPr>
            </w:pPr>
          </w:p>
        </w:tc>
      </w:tr>
      <w:tr w:rsidR="005A7F14" w14:paraId="70B05375" w14:textId="77777777">
        <w:trPr>
          <w:trHeight w:val="364"/>
        </w:trPr>
        <w:tc>
          <w:tcPr>
            <w:tcW w:w="756" w:type="dxa"/>
          </w:tcPr>
          <w:p w14:paraId="68A306B5" w14:textId="77777777" w:rsidR="005A7F14" w:rsidRDefault="0031751E">
            <w:pPr>
              <w:pStyle w:val="TableParagraph"/>
              <w:spacing w:before="3"/>
              <w:ind w:right="266"/>
              <w:jc w:val="right"/>
              <w:rPr>
                <w:sz w:val="20"/>
              </w:rPr>
            </w:pPr>
            <w:r>
              <w:rPr>
                <w:w w:val="95"/>
                <w:sz w:val="20"/>
              </w:rPr>
              <w:t>24</w:t>
            </w:r>
          </w:p>
        </w:tc>
        <w:tc>
          <w:tcPr>
            <w:tcW w:w="1877" w:type="dxa"/>
          </w:tcPr>
          <w:p w14:paraId="51453B00" w14:textId="77777777" w:rsidR="005A7F14" w:rsidRDefault="0031751E">
            <w:pPr>
              <w:pStyle w:val="TableParagraph"/>
              <w:spacing w:before="3"/>
              <w:ind w:left="107"/>
              <w:rPr>
                <w:sz w:val="20"/>
              </w:rPr>
            </w:pPr>
            <w:proofErr w:type="spellStart"/>
            <w:r>
              <w:rPr>
                <w:sz w:val="20"/>
              </w:rPr>
              <w:t>Warlu</w:t>
            </w:r>
            <w:proofErr w:type="spellEnd"/>
            <w:r>
              <w:rPr>
                <w:sz w:val="20"/>
              </w:rPr>
              <w:t xml:space="preserve"> </w:t>
            </w:r>
            <w:proofErr w:type="spellStart"/>
            <w:r>
              <w:rPr>
                <w:sz w:val="20"/>
              </w:rPr>
              <w:t>Jilapaa</w:t>
            </w:r>
            <w:proofErr w:type="spellEnd"/>
            <w:r>
              <w:rPr>
                <w:sz w:val="20"/>
              </w:rPr>
              <w:t xml:space="preserve"> </w:t>
            </w:r>
            <w:proofErr w:type="spellStart"/>
            <w:r>
              <w:rPr>
                <w:sz w:val="20"/>
              </w:rPr>
              <w:t>Jumu</w:t>
            </w:r>
            <w:proofErr w:type="spellEnd"/>
          </w:p>
        </w:tc>
        <w:tc>
          <w:tcPr>
            <w:tcW w:w="1164" w:type="dxa"/>
          </w:tcPr>
          <w:p w14:paraId="67F54265" w14:textId="77777777" w:rsidR="005A7F14" w:rsidRDefault="0031751E">
            <w:pPr>
              <w:pStyle w:val="TableParagraph"/>
              <w:spacing w:before="3"/>
              <w:ind w:left="105" w:right="98"/>
              <w:jc w:val="center"/>
              <w:rPr>
                <w:sz w:val="20"/>
              </w:rPr>
            </w:pPr>
            <w:r>
              <w:rPr>
                <w:sz w:val="20"/>
              </w:rPr>
              <w:t>WA</w:t>
            </w:r>
          </w:p>
        </w:tc>
        <w:tc>
          <w:tcPr>
            <w:tcW w:w="1179" w:type="dxa"/>
          </w:tcPr>
          <w:p w14:paraId="4700FCE6" w14:textId="77777777" w:rsidR="005A7F14" w:rsidRDefault="005A7F14">
            <w:pPr>
              <w:pStyle w:val="TableParagraph"/>
              <w:rPr>
                <w:rFonts w:ascii="Times New Roman"/>
                <w:sz w:val="20"/>
              </w:rPr>
            </w:pPr>
          </w:p>
        </w:tc>
        <w:tc>
          <w:tcPr>
            <w:tcW w:w="835" w:type="dxa"/>
          </w:tcPr>
          <w:p w14:paraId="0BF2E617" w14:textId="77777777" w:rsidR="005A7F14" w:rsidRDefault="005A7F14">
            <w:pPr>
              <w:pStyle w:val="TableParagraph"/>
              <w:rPr>
                <w:rFonts w:ascii="Times New Roman"/>
                <w:sz w:val="20"/>
              </w:rPr>
            </w:pPr>
          </w:p>
        </w:tc>
        <w:tc>
          <w:tcPr>
            <w:tcW w:w="1164" w:type="dxa"/>
            <w:shd w:val="clear" w:color="auto" w:fill="BED5FF"/>
          </w:tcPr>
          <w:p w14:paraId="0071AE5E" w14:textId="77777777" w:rsidR="005A7F14" w:rsidRDefault="0031751E">
            <w:pPr>
              <w:pStyle w:val="TableParagraph"/>
              <w:spacing w:before="3"/>
              <w:ind w:left="5"/>
              <w:jc w:val="center"/>
              <w:rPr>
                <w:sz w:val="20"/>
              </w:rPr>
            </w:pPr>
            <w:r>
              <w:rPr>
                <w:w w:val="99"/>
                <w:sz w:val="20"/>
              </w:rPr>
              <w:t>Y</w:t>
            </w:r>
          </w:p>
        </w:tc>
        <w:tc>
          <w:tcPr>
            <w:tcW w:w="901" w:type="dxa"/>
          </w:tcPr>
          <w:p w14:paraId="243AED7E" w14:textId="77777777" w:rsidR="005A7F14" w:rsidRDefault="005A7F14">
            <w:pPr>
              <w:pStyle w:val="TableParagraph"/>
              <w:rPr>
                <w:rFonts w:ascii="Times New Roman"/>
                <w:sz w:val="20"/>
              </w:rPr>
            </w:pPr>
          </w:p>
        </w:tc>
        <w:tc>
          <w:tcPr>
            <w:tcW w:w="1335" w:type="dxa"/>
          </w:tcPr>
          <w:p w14:paraId="03B5CE19" w14:textId="77777777" w:rsidR="005A7F14" w:rsidRDefault="005A7F14">
            <w:pPr>
              <w:pStyle w:val="TableParagraph"/>
              <w:rPr>
                <w:rFonts w:ascii="Times New Roman"/>
                <w:sz w:val="20"/>
              </w:rPr>
            </w:pPr>
          </w:p>
        </w:tc>
      </w:tr>
      <w:tr w:rsidR="005A7F14" w14:paraId="565EEC5A" w14:textId="77777777">
        <w:trPr>
          <w:trHeight w:val="854"/>
        </w:trPr>
        <w:tc>
          <w:tcPr>
            <w:tcW w:w="756" w:type="dxa"/>
          </w:tcPr>
          <w:p w14:paraId="377EA4CE" w14:textId="77777777" w:rsidR="005A7F14" w:rsidRDefault="005A7F14">
            <w:pPr>
              <w:pStyle w:val="TableParagraph"/>
              <w:spacing w:before="2"/>
              <w:rPr>
                <w:sz w:val="20"/>
              </w:rPr>
            </w:pPr>
          </w:p>
          <w:p w14:paraId="10854749" w14:textId="77777777" w:rsidR="005A7F14" w:rsidRDefault="0031751E">
            <w:pPr>
              <w:pStyle w:val="TableParagraph"/>
              <w:ind w:right="266"/>
              <w:jc w:val="right"/>
              <w:rPr>
                <w:sz w:val="20"/>
              </w:rPr>
            </w:pPr>
            <w:r>
              <w:rPr>
                <w:w w:val="95"/>
                <w:sz w:val="20"/>
              </w:rPr>
              <w:t>25</w:t>
            </w:r>
          </w:p>
        </w:tc>
        <w:tc>
          <w:tcPr>
            <w:tcW w:w="1877" w:type="dxa"/>
          </w:tcPr>
          <w:p w14:paraId="640C63D4" w14:textId="77777777" w:rsidR="005A7F14" w:rsidRDefault="0031751E">
            <w:pPr>
              <w:pStyle w:val="TableParagraph"/>
              <w:spacing w:before="1"/>
              <w:ind w:left="107"/>
              <w:rPr>
                <w:sz w:val="20"/>
              </w:rPr>
            </w:pPr>
            <w:proofErr w:type="spellStart"/>
            <w:r>
              <w:rPr>
                <w:sz w:val="20"/>
              </w:rPr>
              <w:t>Kaanju</w:t>
            </w:r>
            <w:proofErr w:type="spellEnd"/>
            <w:r>
              <w:rPr>
                <w:sz w:val="20"/>
              </w:rPr>
              <w:t xml:space="preserve"> </w:t>
            </w:r>
            <w:proofErr w:type="spellStart"/>
            <w:r>
              <w:rPr>
                <w:sz w:val="20"/>
              </w:rPr>
              <w:t>Ngaachi</w:t>
            </w:r>
            <w:proofErr w:type="spellEnd"/>
            <w:r>
              <w:rPr>
                <w:sz w:val="20"/>
              </w:rPr>
              <w:t xml:space="preserve"> Wenlock &amp; Pascoe Rivers</w:t>
            </w:r>
          </w:p>
        </w:tc>
        <w:tc>
          <w:tcPr>
            <w:tcW w:w="1164" w:type="dxa"/>
          </w:tcPr>
          <w:p w14:paraId="4A5EB194" w14:textId="77777777" w:rsidR="005A7F14" w:rsidRDefault="005A7F14">
            <w:pPr>
              <w:pStyle w:val="TableParagraph"/>
              <w:spacing w:before="2"/>
              <w:rPr>
                <w:sz w:val="20"/>
              </w:rPr>
            </w:pPr>
          </w:p>
          <w:p w14:paraId="2DCF5462" w14:textId="77777777" w:rsidR="005A7F14" w:rsidRDefault="0031751E">
            <w:pPr>
              <w:pStyle w:val="TableParagraph"/>
              <w:ind w:left="106" w:right="98"/>
              <w:jc w:val="center"/>
              <w:rPr>
                <w:sz w:val="20"/>
              </w:rPr>
            </w:pPr>
            <w:r>
              <w:rPr>
                <w:sz w:val="20"/>
              </w:rPr>
              <w:t>QLD</w:t>
            </w:r>
          </w:p>
        </w:tc>
        <w:tc>
          <w:tcPr>
            <w:tcW w:w="1179" w:type="dxa"/>
            <w:shd w:val="clear" w:color="auto" w:fill="F4C4FB"/>
          </w:tcPr>
          <w:p w14:paraId="05E4F05F" w14:textId="77777777" w:rsidR="005A7F14" w:rsidRDefault="005A7F14">
            <w:pPr>
              <w:pStyle w:val="TableParagraph"/>
              <w:spacing w:before="2"/>
              <w:rPr>
                <w:sz w:val="20"/>
              </w:rPr>
            </w:pPr>
          </w:p>
          <w:p w14:paraId="3AE62BE7" w14:textId="77777777" w:rsidR="005A7F14" w:rsidRDefault="0031751E">
            <w:pPr>
              <w:pStyle w:val="TableParagraph"/>
              <w:ind w:left="9"/>
              <w:jc w:val="center"/>
              <w:rPr>
                <w:sz w:val="20"/>
              </w:rPr>
            </w:pPr>
            <w:r>
              <w:rPr>
                <w:w w:val="99"/>
                <w:sz w:val="20"/>
              </w:rPr>
              <w:t>Y</w:t>
            </w:r>
          </w:p>
        </w:tc>
        <w:tc>
          <w:tcPr>
            <w:tcW w:w="835" w:type="dxa"/>
          </w:tcPr>
          <w:p w14:paraId="2B2F0A05" w14:textId="77777777" w:rsidR="005A7F14" w:rsidRDefault="005A7F14">
            <w:pPr>
              <w:pStyle w:val="TableParagraph"/>
              <w:rPr>
                <w:rFonts w:ascii="Times New Roman"/>
                <w:sz w:val="20"/>
              </w:rPr>
            </w:pPr>
          </w:p>
        </w:tc>
        <w:tc>
          <w:tcPr>
            <w:tcW w:w="1164" w:type="dxa"/>
          </w:tcPr>
          <w:p w14:paraId="46A03822" w14:textId="77777777" w:rsidR="005A7F14" w:rsidRDefault="005A7F14">
            <w:pPr>
              <w:pStyle w:val="TableParagraph"/>
              <w:rPr>
                <w:rFonts w:ascii="Times New Roman"/>
                <w:sz w:val="20"/>
              </w:rPr>
            </w:pPr>
          </w:p>
        </w:tc>
        <w:tc>
          <w:tcPr>
            <w:tcW w:w="901" w:type="dxa"/>
          </w:tcPr>
          <w:p w14:paraId="0B9653C9" w14:textId="77777777" w:rsidR="005A7F14" w:rsidRDefault="005A7F14">
            <w:pPr>
              <w:pStyle w:val="TableParagraph"/>
              <w:rPr>
                <w:rFonts w:ascii="Times New Roman"/>
                <w:sz w:val="20"/>
              </w:rPr>
            </w:pPr>
          </w:p>
        </w:tc>
        <w:tc>
          <w:tcPr>
            <w:tcW w:w="1335" w:type="dxa"/>
          </w:tcPr>
          <w:p w14:paraId="2118FAEC" w14:textId="77777777" w:rsidR="005A7F14" w:rsidRDefault="005A7F14">
            <w:pPr>
              <w:pStyle w:val="TableParagraph"/>
              <w:rPr>
                <w:rFonts w:ascii="Times New Roman"/>
                <w:sz w:val="20"/>
              </w:rPr>
            </w:pPr>
          </w:p>
        </w:tc>
      </w:tr>
      <w:tr w:rsidR="005A7F14" w14:paraId="79F287C8" w14:textId="77777777">
        <w:trPr>
          <w:trHeight w:val="361"/>
        </w:trPr>
        <w:tc>
          <w:tcPr>
            <w:tcW w:w="756" w:type="dxa"/>
          </w:tcPr>
          <w:p w14:paraId="129E1084" w14:textId="77777777" w:rsidR="005A7F14" w:rsidRDefault="0031751E">
            <w:pPr>
              <w:pStyle w:val="TableParagraph"/>
              <w:spacing w:before="1"/>
              <w:ind w:right="266"/>
              <w:jc w:val="right"/>
              <w:rPr>
                <w:sz w:val="20"/>
              </w:rPr>
            </w:pPr>
            <w:r>
              <w:rPr>
                <w:w w:val="95"/>
                <w:sz w:val="20"/>
              </w:rPr>
              <w:t>32</w:t>
            </w:r>
          </w:p>
        </w:tc>
        <w:tc>
          <w:tcPr>
            <w:tcW w:w="1877" w:type="dxa"/>
          </w:tcPr>
          <w:p w14:paraId="54EC46EF" w14:textId="77777777" w:rsidR="005A7F14" w:rsidRDefault="0031751E">
            <w:pPr>
              <w:pStyle w:val="TableParagraph"/>
              <w:spacing w:before="1"/>
              <w:ind w:left="107"/>
              <w:rPr>
                <w:sz w:val="20"/>
              </w:rPr>
            </w:pPr>
            <w:proofErr w:type="spellStart"/>
            <w:r>
              <w:rPr>
                <w:sz w:val="20"/>
              </w:rPr>
              <w:t>Warddeken</w:t>
            </w:r>
            <w:proofErr w:type="spellEnd"/>
          </w:p>
        </w:tc>
        <w:tc>
          <w:tcPr>
            <w:tcW w:w="1164" w:type="dxa"/>
          </w:tcPr>
          <w:p w14:paraId="076A1465" w14:textId="77777777" w:rsidR="005A7F14" w:rsidRDefault="0031751E">
            <w:pPr>
              <w:pStyle w:val="TableParagraph"/>
              <w:spacing w:before="1"/>
              <w:ind w:left="108" w:right="98"/>
              <w:jc w:val="center"/>
              <w:rPr>
                <w:sz w:val="20"/>
              </w:rPr>
            </w:pPr>
            <w:r>
              <w:rPr>
                <w:sz w:val="20"/>
              </w:rPr>
              <w:t>NT</w:t>
            </w:r>
          </w:p>
        </w:tc>
        <w:tc>
          <w:tcPr>
            <w:tcW w:w="1179" w:type="dxa"/>
          </w:tcPr>
          <w:p w14:paraId="0B9D2ACE" w14:textId="77777777" w:rsidR="005A7F14" w:rsidRDefault="005A7F14">
            <w:pPr>
              <w:pStyle w:val="TableParagraph"/>
              <w:rPr>
                <w:rFonts w:ascii="Times New Roman"/>
                <w:sz w:val="20"/>
              </w:rPr>
            </w:pPr>
          </w:p>
        </w:tc>
        <w:tc>
          <w:tcPr>
            <w:tcW w:w="835" w:type="dxa"/>
          </w:tcPr>
          <w:p w14:paraId="277FD896" w14:textId="77777777" w:rsidR="005A7F14" w:rsidRDefault="005A7F14">
            <w:pPr>
              <w:pStyle w:val="TableParagraph"/>
              <w:rPr>
                <w:rFonts w:ascii="Times New Roman"/>
                <w:sz w:val="20"/>
              </w:rPr>
            </w:pPr>
          </w:p>
        </w:tc>
        <w:tc>
          <w:tcPr>
            <w:tcW w:w="1164" w:type="dxa"/>
            <w:shd w:val="clear" w:color="auto" w:fill="BED5FF"/>
          </w:tcPr>
          <w:p w14:paraId="6EA4AB5C" w14:textId="77777777" w:rsidR="005A7F14" w:rsidRDefault="0031751E">
            <w:pPr>
              <w:pStyle w:val="TableParagraph"/>
              <w:spacing w:before="1"/>
              <w:ind w:left="5"/>
              <w:jc w:val="center"/>
              <w:rPr>
                <w:sz w:val="20"/>
              </w:rPr>
            </w:pPr>
            <w:r>
              <w:rPr>
                <w:w w:val="99"/>
                <w:sz w:val="20"/>
              </w:rPr>
              <w:t>Y</w:t>
            </w:r>
          </w:p>
        </w:tc>
        <w:tc>
          <w:tcPr>
            <w:tcW w:w="901" w:type="dxa"/>
          </w:tcPr>
          <w:p w14:paraId="3E4EE374" w14:textId="77777777" w:rsidR="005A7F14" w:rsidRDefault="005A7F14">
            <w:pPr>
              <w:pStyle w:val="TableParagraph"/>
              <w:rPr>
                <w:rFonts w:ascii="Times New Roman"/>
                <w:sz w:val="20"/>
              </w:rPr>
            </w:pPr>
          </w:p>
        </w:tc>
        <w:tc>
          <w:tcPr>
            <w:tcW w:w="1335" w:type="dxa"/>
          </w:tcPr>
          <w:p w14:paraId="7378BCDE" w14:textId="77777777" w:rsidR="005A7F14" w:rsidRDefault="005A7F14">
            <w:pPr>
              <w:pStyle w:val="TableParagraph"/>
              <w:rPr>
                <w:rFonts w:ascii="Times New Roman"/>
                <w:sz w:val="20"/>
              </w:rPr>
            </w:pPr>
          </w:p>
        </w:tc>
      </w:tr>
      <w:tr w:rsidR="005A7F14" w14:paraId="2F54521E" w14:textId="77777777">
        <w:trPr>
          <w:trHeight w:val="364"/>
        </w:trPr>
        <w:tc>
          <w:tcPr>
            <w:tcW w:w="756" w:type="dxa"/>
          </w:tcPr>
          <w:p w14:paraId="684FFCAA" w14:textId="77777777" w:rsidR="005A7F14" w:rsidRDefault="0031751E">
            <w:pPr>
              <w:pStyle w:val="TableParagraph"/>
              <w:spacing w:before="3"/>
              <w:ind w:right="266"/>
              <w:jc w:val="right"/>
              <w:rPr>
                <w:sz w:val="20"/>
              </w:rPr>
            </w:pPr>
            <w:r>
              <w:rPr>
                <w:w w:val="95"/>
                <w:sz w:val="20"/>
              </w:rPr>
              <w:t>33</w:t>
            </w:r>
          </w:p>
        </w:tc>
        <w:tc>
          <w:tcPr>
            <w:tcW w:w="1877" w:type="dxa"/>
          </w:tcPr>
          <w:p w14:paraId="5F9CED15" w14:textId="77777777" w:rsidR="005A7F14" w:rsidRDefault="0031751E">
            <w:pPr>
              <w:pStyle w:val="TableParagraph"/>
              <w:spacing w:before="3"/>
              <w:ind w:left="107"/>
              <w:rPr>
                <w:sz w:val="20"/>
              </w:rPr>
            </w:pPr>
            <w:proofErr w:type="spellStart"/>
            <w:r>
              <w:rPr>
                <w:sz w:val="20"/>
              </w:rPr>
              <w:t>Djelk</w:t>
            </w:r>
            <w:proofErr w:type="spellEnd"/>
          </w:p>
        </w:tc>
        <w:tc>
          <w:tcPr>
            <w:tcW w:w="1164" w:type="dxa"/>
          </w:tcPr>
          <w:p w14:paraId="22402AFA" w14:textId="77777777" w:rsidR="005A7F14" w:rsidRDefault="0031751E">
            <w:pPr>
              <w:pStyle w:val="TableParagraph"/>
              <w:spacing w:before="3"/>
              <w:ind w:left="108" w:right="98"/>
              <w:jc w:val="center"/>
              <w:rPr>
                <w:sz w:val="20"/>
              </w:rPr>
            </w:pPr>
            <w:r>
              <w:rPr>
                <w:sz w:val="20"/>
              </w:rPr>
              <w:t>NT</w:t>
            </w:r>
          </w:p>
        </w:tc>
        <w:tc>
          <w:tcPr>
            <w:tcW w:w="1179" w:type="dxa"/>
          </w:tcPr>
          <w:p w14:paraId="12BD8553" w14:textId="77777777" w:rsidR="005A7F14" w:rsidRDefault="005A7F14">
            <w:pPr>
              <w:pStyle w:val="TableParagraph"/>
              <w:rPr>
                <w:rFonts w:ascii="Times New Roman"/>
                <w:sz w:val="20"/>
              </w:rPr>
            </w:pPr>
          </w:p>
        </w:tc>
        <w:tc>
          <w:tcPr>
            <w:tcW w:w="835" w:type="dxa"/>
          </w:tcPr>
          <w:p w14:paraId="0BB08617" w14:textId="77777777" w:rsidR="005A7F14" w:rsidRDefault="005A7F14">
            <w:pPr>
              <w:pStyle w:val="TableParagraph"/>
              <w:rPr>
                <w:rFonts w:ascii="Times New Roman"/>
                <w:sz w:val="20"/>
              </w:rPr>
            </w:pPr>
          </w:p>
        </w:tc>
        <w:tc>
          <w:tcPr>
            <w:tcW w:w="1164" w:type="dxa"/>
            <w:shd w:val="clear" w:color="auto" w:fill="BED5FF"/>
          </w:tcPr>
          <w:p w14:paraId="0E14D808" w14:textId="77777777" w:rsidR="005A7F14" w:rsidRDefault="0031751E">
            <w:pPr>
              <w:pStyle w:val="TableParagraph"/>
              <w:spacing w:before="3"/>
              <w:ind w:left="5"/>
              <w:jc w:val="center"/>
              <w:rPr>
                <w:sz w:val="20"/>
              </w:rPr>
            </w:pPr>
            <w:r>
              <w:rPr>
                <w:w w:val="99"/>
                <w:sz w:val="20"/>
              </w:rPr>
              <w:t>Y</w:t>
            </w:r>
          </w:p>
        </w:tc>
        <w:tc>
          <w:tcPr>
            <w:tcW w:w="901" w:type="dxa"/>
          </w:tcPr>
          <w:p w14:paraId="50B05CCF" w14:textId="77777777" w:rsidR="005A7F14" w:rsidRDefault="005A7F14">
            <w:pPr>
              <w:pStyle w:val="TableParagraph"/>
              <w:rPr>
                <w:rFonts w:ascii="Times New Roman"/>
                <w:sz w:val="20"/>
              </w:rPr>
            </w:pPr>
          </w:p>
        </w:tc>
        <w:tc>
          <w:tcPr>
            <w:tcW w:w="1335" w:type="dxa"/>
          </w:tcPr>
          <w:p w14:paraId="18E549FE" w14:textId="77777777" w:rsidR="005A7F14" w:rsidRDefault="005A7F14">
            <w:pPr>
              <w:pStyle w:val="TableParagraph"/>
              <w:rPr>
                <w:rFonts w:ascii="Times New Roman"/>
                <w:sz w:val="20"/>
              </w:rPr>
            </w:pPr>
          </w:p>
        </w:tc>
      </w:tr>
      <w:tr w:rsidR="005A7F14" w14:paraId="480AB1DA" w14:textId="77777777">
        <w:trPr>
          <w:trHeight w:val="364"/>
        </w:trPr>
        <w:tc>
          <w:tcPr>
            <w:tcW w:w="756" w:type="dxa"/>
          </w:tcPr>
          <w:p w14:paraId="50DF0F41" w14:textId="77777777" w:rsidR="005A7F14" w:rsidRDefault="0031751E">
            <w:pPr>
              <w:pStyle w:val="TableParagraph"/>
              <w:spacing w:before="3"/>
              <w:ind w:right="266"/>
              <w:jc w:val="right"/>
              <w:rPr>
                <w:sz w:val="20"/>
              </w:rPr>
            </w:pPr>
            <w:r>
              <w:rPr>
                <w:w w:val="95"/>
                <w:sz w:val="20"/>
              </w:rPr>
              <w:t>35</w:t>
            </w:r>
          </w:p>
        </w:tc>
        <w:tc>
          <w:tcPr>
            <w:tcW w:w="1877" w:type="dxa"/>
          </w:tcPr>
          <w:p w14:paraId="18591FF6" w14:textId="77777777" w:rsidR="005A7F14" w:rsidRDefault="0031751E">
            <w:pPr>
              <w:pStyle w:val="TableParagraph"/>
              <w:spacing w:before="3"/>
              <w:ind w:left="107"/>
              <w:rPr>
                <w:sz w:val="20"/>
              </w:rPr>
            </w:pPr>
            <w:proofErr w:type="spellStart"/>
            <w:r>
              <w:rPr>
                <w:sz w:val="20"/>
              </w:rPr>
              <w:t>Kurtonitj</w:t>
            </w:r>
            <w:proofErr w:type="spellEnd"/>
          </w:p>
        </w:tc>
        <w:tc>
          <w:tcPr>
            <w:tcW w:w="1164" w:type="dxa"/>
          </w:tcPr>
          <w:p w14:paraId="2E2BD0B3" w14:textId="77777777" w:rsidR="005A7F14" w:rsidRDefault="0031751E">
            <w:pPr>
              <w:pStyle w:val="TableParagraph"/>
              <w:spacing w:before="3"/>
              <w:ind w:left="107" w:right="98"/>
              <w:jc w:val="center"/>
              <w:rPr>
                <w:sz w:val="20"/>
              </w:rPr>
            </w:pPr>
            <w:r>
              <w:rPr>
                <w:sz w:val="20"/>
              </w:rPr>
              <w:t>VIC</w:t>
            </w:r>
          </w:p>
        </w:tc>
        <w:tc>
          <w:tcPr>
            <w:tcW w:w="1179" w:type="dxa"/>
          </w:tcPr>
          <w:p w14:paraId="61F21C92" w14:textId="77777777" w:rsidR="005A7F14" w:rsidRDefault="005A7F14">
            <w:pPr>
              <w:pStyle w:val="TableParagraph"/>
              <w:rPr>
                <w:rFonts w:ascii="Times New Roman"/>
                <w:sz w:val="20"/>
              </w:rPr>
            </w:pPr>
          </w:p>
        </w:tc>
        <w:tc>
          <w:tcPr>
            <w:tcW w:w="835" w:type="dxa"/>
          </w:tcPr>
          <w:p w14:paraId="203EFA10" w14:textId="77777777" w:rsidR="005A7F14" w:rsidRDefault="005A7F14">
            <w:pPr>
              <w:pStyle w:val="TableParagraph"/>
              <w:rPr>
                <w:rFonts w:ascii="Times New Roman"/>
                <w:sz w:val="20"/>
              </w:rPr>
            </w:pPr>
          </w:p>
        </w:tc>
        <w:tc>
          <w:tcPr>
            <w:tcW w:w="1164" w:type="dxa"/>
            <w:shd w:val="clear" w:color="auto" w:fill="BED5FF"/>
          </w:tcPr>
          <w:p w14:paraId="2B0BF64E" w14:textId="77777777" w:rsidR="005A7F14" w:rsidRDefault="0031751E">
            <w:pPr>
              <w:pStyle w:val="TableParagraph"/>
              <w:spacing w:before="3"/>
              <w:ind w:left="5"/>
              <w:jc w:val="center"/>
              <w:rPr>
                <w:sz w:val="20"/>
              </w:rPr>
            </w:pPr>
            <w:r>
              <w:rPr>
                <w:w w:val="99"/>
                <w:sz w:val="20"/>
              </w:rPr>
              <w:t>Y</w:t>
            </w:r>
          </w:p>
        </w:tc>
        <w:tc>
          <w:tcPr>
            <w:tcW w:w="901" w:type="dxa"/>
          </w:tcPr>
          <w:p w14:paraId="04F4D48C" w14:textId="77777777" w:rsidR="005A7F14" w:rsidRDefault="005A7F14">
            <w:pPr>
              <w:pStyle w:val="TableParagraph"/>
              <w:rPr>
                <w:rFonts w:ascii="Times New Roman"/>
                <w:sz w:val="20"/>
              </w:rPr>
            </w:pPr>
          </w:p>
        </w:tc>
        <w:tc>
          <w:tcPr>
            <w:tcW w:w="1335" w:type="dxa"/>
          </w:tcPr>
          <w:p w14:paraId="3F8AB9E7" w14:textId="77777777" w:rsidR="005A7F14" w:rsidRDefault="005A7F14">
            <w:pPr>
              <w:pStyle w:val="TableParagraph"/>
              <w:rPr>
                <w:rFonts w:ascii="Times New Roman"/>
                <w:sz w:val="20"/>
              </w:rPr>
            </w:pPr>
          </w:p>
        </w:tc>
      </w:tr>
      <w:tr w:rsidR="005A7F14" w14:paraId="6EC3E6F8" w14:textId="77777777">
        <w:trPr>
          <w:trHeight w:val="364"/>
        </w:trPr>
        <w:tc>
          <w:tcPr>
            <w:tcW w:w="756" w:type="dxa"/>
          </w:tcPr>
          <w:p w14:paraId="5D55D75A" w14:textId="77777777" w:rsidR="005A7F14" w:rsidRDefault="0031751E">
            <w:pPr>
              <w:pStyle w:val="TableParagraph"/>
              <w:spacing w:before="1"/>
              <w:ind w:right="266"/>
              <w:jc w:val="right"/>
              <w:rPr>
                <w:sz w:val="20"/>
              </w:rPr>
            </w:pPr>
            <w:r>
              <w:rPr>
                <w:w w:val="95"/>
                <w:sz w:val="20"/>
              </w:rPr>
              <w:t>39</w:t>
            </w:r>
          </w:p>
        </w:tc>
        <w:tc>
          <w:tcPr>
            <w:tcW w:w="1877" w:type="dxa"/>
          </w:tcPr>
          <w:p w14:paraId="41338BC2" w14:textId="77777777" w:rsidR="005A7F14" w:rsidRDefault="0031751E">
            <w:pPr>
              <w:pStyle w:val="TableParagraph"/>
              <w:spacing w:before="1"/>
              <w:ind w:left="107"/>
              <w:rPr>
                <w:sz w:val="20"/>
              </w:rPr>
            </w:pPr>
            <w:r>
              <w:rPr>
                <w:sz w:val="20"/>
              </w:rPr>
              <w:t>Lake Condah</w:t>
            </w:r>
          </w:p>
        </w:tc>
        <w:tc>
          <w:tcPr>
            <w:tcW w:w="1164" w:type="dxa"/>
          </w:tcPr>
          <w:p w14:paraId="7185792D" w14:textId="77777777" w:rsidR="005A7F14" w:rsidRDefault="0031751E">
            <w:pPr>
              <w:pStyle w:val="TableParagraph"/>
              <w:spacing w:before="1"/>
              <w:ind w:left="107" w:right="98"/>
              <w:jc w:val="center"/>
              <w:rPr>
                <w:sz w:val="20"/>
              </w:rPr>
            </w:pPr>
            <w:r>
              <w:rPr>
                <w:sz w:val="20"/>
              </w:rPr>
              <w:t>VIC</w:t>
            </w:r>
          </w:p>
        </w:tc>
        <w:tc>
          <w:tcPr>
            <w:tcW w:w="1179" w:type="dxa"/>
          </w:tcPr>
          <w:p w14:paraId="28869C2D" w14:textId="77777777" w:rsidR="005A7F14" w:rsidRDefault="005A7F14">
            <w:pPr>
              <w:pStyle w:val="TableParagraph"/>
              <w:rPr>
                <w:rFonts w:ascii="Times New Roman"/>
                <w:sz w:val="20"/>
              </w:rPr>
            </w:pPr>
          </w:p>
        </w:tc>
        <w:tc>
          <w:tcPr>
            <w:tcW w:w="835" w:type="dxa"/>
            <w:shd w:val="clear" w:color="auto" w:fill="EEC6DC"/>
          </w:tcPr>
          <w:p w14:paraId="4F222252" w14:textId="77777777" w:rsidR="005A7F14" w:rsidRDefault="0031751E">
            <w:pPr>
              <w:pStyle w:val="TableParagraph"/>
              <w:spacing w:before="1"/>
              <w:ind w:left="7"/>
              <w:jc w:val="center"/>
              <w:rPr>
                <w:sz w:val="20"/>
              </w:rPr>
            </w:pPr>
            <w:r>
              <w:rPr>
                <w:w w:val="99"/>
                <w:sz w:val="20"/>
              </w:rPr>
              <w:t>Y</w:t>
            </w:r>
          </w:p>
        </w:tc>
        <w:tc>
          <w:tcPr>
            <w:tcW w:w="1164" w:type="dxa"/>
            <w:shd w:val="clear" w:color="auto" w:fill="BED5FF"/>
          </w:tcPr>
          <w:p w14:paraId="6B8B7190" w14:textId="77777777" w:rsidR="005A7F14" w:rsidRDefault="0031751E">
            <w:pPr>
              <w:pStyle w:val="TableParagraph"/>
              <w:spacing w:before="1"/>
              <w:ind w:left="5"/>
              <w:jc w:val="center"/>
              <w:rPr>
                <w:sz w:val="20"/>
              </w:rPr>
            </w:pPr>
            <w:r>
              <w:rPr>
                <w:w w:val="99"/>
                <w:sz w:val="20"/>
              </w:rPr>
              <w:t>Y</w:t>
            </w:r>
          </w:p>
        </w:tc>
        <w:tc>
          <w:tcPr>
            <w:tcW w:w="901" w:type="dxa"/>
          </w:tcPr>
          <w:p w14:paraId="5F908FFB" w14:textId="77777777" w:rsidR="005A7F14" w:rsidRDefault="005A7F14">
            <w:pPr>
              <w:pStyle w:val="TableParagraph"/>
              <w:rPr>
                <w:rFonts w:ascii="Times New Roman"/>
                <w:sz w:val="20"/>
              </w:rPr>
            </w:pPr>
          </w:p>
        </w:tc>
        <w:tc>
          <w:tcPr>
            <w:tcW w:w="1335" w:type="dxa"/>
          </w:tcPr>
          <w:p w14:paraId="47F074F6" w14:textId="77777777" w:rsidR="005A7F14" w:rsidRDefault="005A7F14">
            <w:pPr>
              <w:pStyle w:val="TableParagraph"/>
              <w:rPr>
                <w:rFonts w:ascii="Times New Roman"/>
                <w:sz w:val="20"/>
              </w:rPr>
            </w:pPr>
          </w:p>
        </w:tc>
      </w:tr>
      <w:tr w:rsidR="005A7F14" w14:paraId="71DFA945" w14:textId="77777777">
        <w:trPr>
          <w:trHeight w:val="364"/>
        </w:trPr>
        <w:tc>
          <w:tcPr>
            <w:tcW w:w="756" w:type="dxa"/>
          </w:tcPr>
          <w:p w14:paraId="6C809D9F" w14:textId="77777777" w:rsidR="005A7F14" w:rsidRDefault="0031751E">
            <w:pPr>
              <w:pStyle w:val="TableParagraph"/>
              <w:spacing w:before="1"/>
              <w:ind w:right="266"/>
              <w:jc w:val="right"/>
              <w:rPr>
                <w:sz w:val="20"/>
              </w:rPr>
            </w:pPr>
            <w:r>
              <w:rPr>
                <w:w w:val="95"/>
                <w:sz w:val="20"/>
              </w:rPr>
              <w:t>42</w:t>
            </w:r>
          </w:p>
        </w:tc>
        <w:tc>
          <w:tcPr>
            <w:tcW w:w="1877" w:type="dxa"/>
          </w:tcPr>
          <w:p w14:paraId="1D2BBB66" w14:textId="77777777" w:rsidR="005A7F14" w:rsidRDefault="0031751E">
            <w:pPr>
              <w:pStyle w:val="TableParagraph"/>
              <w:spacing w:before="1"/>
              <w:ind w:left="107"/>
              <w:rPr>
                <w:sz w:val="20"/>
              </w:rPr>
            </w:pPr>
            <w:proofErr w:type="spellStart"/>
            <w:r>
              <w:rPr>
                <w:sz w:val="20"/>
              </w:rPr>
              <w:t>Uunguu</w:t>
            </w:r>
            <w:proofErr w:type="spellEnd"/>
          </w:p>
        </w:tc>
        <w:tc>
          <w:tcPr>
            <w:tcW w:w="1164" w:type="dxa"/>
          </w:tcPr>
          <w:p w14:paraId="31C0FB6B" w14:textId="77777777" w:rsidR="005A7F14" w:rsidRDefault="0031751E">
            <w:pPr>
              <w:pStyle w:val="TableParagraph"/>
              <w:spacing w:before="1"/>
              <w:ind w:left="105" w:right="98"/>
              <w:jc w:val="center"/>
              <w:rPr>
                <w:sz w:val="20"/>
              </w:rPr>
            </w:pPr>
            <w:r>
              <w:rPr>
                <w:sz w:val="20"/>
              </w:rPr>
              <w:t>WA</w:t>
            </w:r>
          </w:p>
        </w:tc>
        <w:tc>
          <w:tcPr>
            <w:tcW w:w="1179" w:type="dxa"/>
            <w:shd w:val="clear" w:color="auto" w:fill="F4C4FB"/>
          </w:tcPr>
          <w:p w14:paraId="5379F6A9" w14:textId="77777777" w:rsidR="005A7F14" w:rsidRDefault="0031751E">
            <w:pPr>
              <w:pStyle w:val="TableParagraph"/>
              <w:spacing w:before="1"/>
              <w:ind w:left="9"/>
              <w:jc w:val="center"/>
              <w:rPr>
                <w:sz w:val="20"/>
              </w:rPr>
            </w:pPr>
            <w:r>
              <w:rPr>
                <w:w w:val="99"/>
                <w:sz w:val="20"/>
              </w:rPr>
              <w:t>Y</w:t>
            </w:r>
          </w:p>
        </w:tc>
        <w:tc>
          <w:tcPr>
            <w:tcW w:w="835" w:type="dxa"/>
            <w:shd w:val="clear" w:color="auto" w:fill="EEC6DC"/>
          </w:tcPr>
          <w:p w14:paraId="08F8937B" w14:textId="77777777" w:rsidR="005A7F14" w:rsidRDefault="0031751E">
            <w:pPr>
              <w:pStyle w:val="TableParagraph"/>
              <w:spacing w:before="1"/>
              <w:ind w:left="7"/>
              <w:jc w:val="center"/>
              <w:rPr>
                <w:sz w:val="20"/>
              </w:rPr>
            </w:pPr>
            <w:r>
              <w:rPr>
                <w:w w:val="99"/>
                <w:sz w:val="20"/>
              </w:rPr>
              <w:t>Y</w:t>
            </w:r>
          </w:p>
        </w:tc>
        <w:tc>
          <w:tcPr>
            <w:tcW w:w="1164" w:type="dxa"/>
            <w:shd w:val="clear" w:color="auto" w:fill="BED5FF"/>
          </w:tcPr>
          <w:p w14:paraId="433E803E" w14:textId="77777777" w:rsidR="005A7F14" w:rsidRDefault="0031751E">
            <w:pPr>
              <w:pStyle w:val="TableParagraph"/>
              <w:spacing w:before="1"/>
              <w:ind w:left="5"/>
              <w:jc w:val="center"/>
              <w:rPr>
                <w:sz w:val="20"/>
              </w:rPr>
            </w:pPr>
            <w:r>
              <w:rPr>
                <w:w w:val="99"/>
                <w:sz w:val="20"/>
              </w:rPr>
              <w:t>Y</w:t>
            </w:r>
          </w:p>
        </w:tc>
        <w:tc>
          <w:tcPr>
            <w:tcW w:w="901" w:type="dxa"/>
          </w:tcPr>
          <w:p w14:paraId="4FCAAAF5" w14:textId="77777777" w:rsidR="005A7F14" w:rsidRDefault="005A7F14">
            <w:pPr>
              <w:pStyle w:val="TableParagraph"/>
              <w:rPr>
                <w:rFonts w:ascii="Times New Roman"/>
                <w:sz w:val="20"/>
              </w:rPr>
            </w:pPr>
          </w:p>
        </w:tc>
        <w:tc>
          <w:tcPr>
            <w:tcW w:w="1335" w:type="dxa"/>
          </w:tcPr>
          <w:p w14:paraId="2D0D4A14" w14:textId="77777777" w:rsidR="005A7F14" w:rsidRDefault="005A7F14">
            <w:pPr>
              <w:pStyle w:val="TableParagraph"/>
              <w:rPr>
                <w:rFonts w:ascii="Times New Roman"/>
                <w:sz w:val="20"/>
              </w:rPr>
            </w:pPr>
          </w:p>
        </w:tc>
      </w:tr>
      <w:tr w:rsidR="005A7F14" w14:paraId="2A859FB7" w14:textId="77777777">
        <w:trPr>
          <w:trHeight w:val="609"/>
        </w:trPr>
        <w:tc>
          <w:tcPr>
            <w:tcW w:w="756" w:type="dxa"/>
          </w:tcPr>
          <w:p w14:paraId="2C6DAB43" w14:textId="77777777" w:rsidR="005A7F14" w:rsidRDefault="0031751E">
            <w:pPr>
              <w:pStyle w:val="TableParagraph"/>
              <w:spacing w:before="123"/>
              <w:ind w:right="266"/>
              <w:jc w:val="right"/>
              <w:rPr>
                <w:sz w:val="20"/>
              </w:rPr>
            </w:pPr>
            <w:r>
              <w:rPr>
                <w:w w:val="95"/>
                <w:sz w:val="20"/>
              </w:rPr>
              <w:t>50</w:t>
            </w:r>
          </w:p>
        </w:tc>
        <w:tc>
          <w:tcPr>
            <w:tcW w:w="1877" w:type="dxa"/>
          </w:tcPr>
          <w:p w14:paraId="064FF219" w14:textId="77777777" w:rsidR="005A7F14" w:rsidRDefault="0031751E">
            <w:pPr>
              <w:pStyle w:val="TableParagraph"/>
              <w:spacing w:before="1"/>
              <w:ind w:left="107" w:right="367"/>
              <w:rPr>
                <w:sz w:val="20"/>
              </w:rPr>
            </w:pPr>
            <w:proofErr w:type="spellStart"/>
            <w:r>
              <w:rPr>
                <w:w w:val="95"/>
                <w:sz w:val="20"/>
              </w:rPr>
              <w:t>Mandingalbay</w:t>
            </w:r>
            <w:proofErr w:type="spellEnd"/>
            <w:r>
              <w:rPr>
                <w:w w:val="95"/>
                <w:sz w:val="20"/>
              </w:rPr>
              <w:t xml:space="preserve"> </w:t>
            </w:r>
            <w:r>
              <w:rPr>
                <w:sz w:val="20"/>
              </w:rPr>
              <w:t>Yidinji</w:t>
            </w:r>
          </w:p>
        </w:tc>
        <w:tc>
          <w:tcPr>
            <w:tcW w:w="1164" w:type="dxa"/>
          </w:tcPr>
          <w:p w14:paraId="44076ADF" w14:textId="77777777" w:rsidR="005A7F14" w:rsidRDefault="0031751E">
            <w:pPr>
              <w:pStyle w:val="TableParagraph"/>
              <w:spacing w:before="123"/>
              <w:ind w:left="106" w:right="98"/>
              <w:jc w:val="center"/>
              <w:rPr>
                <w:sz w:val="20"/>
              </w:rPr>
            </w:pPr>
            <w:r>
              <w:rPr>
                <w:sz w:val="20"/>
              </w:rPr>
              <w:t>QLD</w:t>
            </w:r>
          </w:p>
        </w:tc>
        <w:tc>
          <w:tcPr>
            <w:tcW w:w="1179" w:type="dxa"/>
            <w:shd w:val="clear" w:color="auto" w:fill="F4C4FB"/>
          </w:tcPr>
          <w:p w14:paraId="6B9BB2EB" w14:textId="77777777" w:rsidR="005A7F14" w:rsidRDefault="0031751E">
            <w:pPr>
              <w:pStyle w:val="TableParagraph"/>
              <w:spacing w:before="123"/>
              <w:ind w:left="9"/>
              <w:jc w:val="center"/>
              <w:rPr>
                <w:sz w:val="20"/>
              </w:rPr>
            </w:pPr>
            <w:r>
              <w:rPr>
                <w:w w:val="99"/>
                <w:sz w:val="20"/>
              </w:rPr>
              <w:t>Y</w:t>
            </w:r>
          </w:p>
        </w:tc>
        <w:tc>
          <w:tcPr>
            <w:tcW w:w="835" w:type="dxa"/>
            <w:shd w:val="clear" w:color="auto" w:fill="EEC6DC"/>
          </w:tcPr>
          <w:p w14:paraId="4F2BCD44" w14:textId="77777777" w:rsidR="005A7F14" w:rsidRDefault="0031751E">
            <w:pPr>
              <w:pStyle w:val="TableParagraph"/>
              <w:spacing w:before="123"/>
              <w:ind w:left="7"/>
              <w:jc w:val="center"/>
              <w:rPr>
                <w:sz w:val="20"/>
              </w:rPr>
            </w:pPr>
            <w:r>
              <w:rPr>
                <w:w w:val="99"/>
                <w:sz w:val="20"/>
              </w:rPr>
              <w:t>Y</w:t>
            </w:r>
          </w:p>
        </w:tc>
        <w:tc>
          <w:tcPr>
            <w:tcW w:w="1164" w:type="dxa"/>
          </w:tcPr>
          <w:p w14:paraId="5E6E991F" w14:textId="77777777" w:rsidR="005A7F14" w:rsidRDefault="005A7F14">
            <w:pPr>
              <w:pStyle w:val="TableParagraph"/>
              <w:rPr>
                <w:rFonts w:ascii="Times New Roman"/>
                <w:sz w:val="20"/>
              </w:rPr>
            </w:pPr>
          </w:p>
        </w:tc>
        <w:tc>
          <w:tcPr>
            <w:tcW w:w="901" w:type="dxa"/>
          </w:tcPr>
          <w:p w14:paraId="53F517EC" w14:textId="77777777" w:rsidR="005A7F14" w:rsidRDefault="005A7F14">
            <w:pPr>
              <w:pStyle w:val="TableParagraph"/>
              <w:rPr>
                <w:rFonts w:ascii="Times New Roman"/>
                <w:sz w:val="20"/>
              </w:rPr>
            </w:pPr>
          </w:p>
        </w:tc>
        <w:tc>
          <w:tcPr>
            <w:tcW w:w="1335" w:type="dxa"/>
          </w:tcPr>
          <w:p w14:paraId="7CA39485" w14:textId="77777777" w:rsidR="005A7F14" w:rsidRDefault="005A7F14">
            <w:pPr>
              <w:pStyle w:val="TableParagraph"/>
              <w:rPr>
                <w:rFonts w:ascii="Times New Roman"/>
                <w:sz w:val="20"/>
              </w:rPr>
            </w:pPr>
          </w:p>
        </w:tc>
      </w:tr>
      <w:tr w:rsidR="005A7F14" w14:paraId="575B134B" w14:textId="77777777">
        <w:trPr>
          <w:trHeight w:val="364"/>
        </w:trPr>
        <w:tc>
          <w:tcPr>
            <w:tcW w:w="756" w:type="dxa"/>
          </w:tcPr>
          <w:p w14:paraId="634CEA72" w14:textId="77777777" w:rsidR="005A7F14" w:rsidRDefault="0031751E">
            <w:pPr>
              <w:pStyle w:val="TableParagraph"/>
              <w:spacing w:before="1"/>
              <w:ind w:right="220"/>
              <w:jc w:val="right"/>
              <w:rPr>
                <w:sz w:val="20"/>
              </w:rPr>
            </w:pPr>
            <w:r>
              <w:rPr>
                <w:w w:val="95"/>
                <w:sz w:val="20"/>
              </w:rPr>
              <w:t>Y51</w:t>
            </w:r>
          </w:p>
        </w:tc>
        <w:tc>
          <w:tcPr>
            <w:tcW w:w="1877" w:type="dxa"/>
          </w:tcPr>
          <w:p w14:paraId="18CB15BF" w14:textId="77777777" w:rsidR="005A7F14" w:rsidRDefault="0031751E">
            <w:pPr>
              <w:pStyle w:val="TableParagraph"/>
              <w:spacing w:before="1"/>
              <w:ind w:left="107"/>
              <w:rPr>
                <w:sz w:val="20"/>
              </w:rPr>
            </w:pPr>
            <w:r>
              <w:rPr>
                <w:sz w:val="20"/>
              </w:rPr>
              <w:t>Southern Tanami</w:t>
            </w:r>
          </w:p>
        </w:tc>
        <w:tc>
          <w:tcPr>
            <w:tcW w:w="1164" w:type="dxa"/>
          </w:tcPr>
          <w:p w14:paraId="420DFD4E" w14:textId="77777777" w:rsidR="005A7F14" w:rsidRDefault="0031751E">
            <w:pPr>
              <w:pStyle w:val="TableParagraph"/>
              <w:spacing w:before="1"/>
              <w:ind w:left="108" w:right="98"/>
              <w:jc w:val="center"/>
              <w:rPr>
                <w:sz w:val="20"/>
              </w:rPr>
            </w:pPr>
            <w:r>
              <w:rPr>
                <w:sz w:val="20"/>
              </w:rPr>
              <w:t>NT</w:t>
            </w:r>
          </w:p>
        </w:tc>
        <w:tc>
          <w:tcPr>
            <w:tcW w:w="1179" w:type="dxa"/>
          </w:tcPr>
          <w:p w14:paraId="2DBB66AA" w14:textId="77777777" w:rsidR="005A7F14" w:rsidRDefault="005A7F14">
            <w:pPr>
              <w:pStyle w:val="TableParagraph"/>
              <w:rPr>
                <w:rFonts w:ascii="Times New Roman"/>
                <w:sz w:val="20"/>
              </w:rPr>
            </w:pPr>
          </w:p>
        </w:tc>
        <w:tc>
          <w:tcPr>
            <w:tcW w:w="835" w:type="dxa"/>
          </w:tcPr>
          <w:p w14:paraId="095E4C9F" w14:textId="77777777" w:rsidR="005A7F14" w:rsidRDefault="005A7F14">
            <w:pPr>
              <w:pStyle w:val="TableParagraph"/>
              <w:rPr>
                <w:rFonts w:ascii="Times New Roman"/>
                <w:sz w:val="20"/>
              </w:rPr>
            </w:pPr>
          </w:p>
        </w:tc>
        <w:tc>
          <w:tcPr>
            <w:tcW w:w="1164" w:type="dxa"/>
            <w:shd w:val="clear" w:color="auto" w:fill="BED5FF"/>
          </w:tcPr>
          <w:p w14:paraId="01AE2078" w14:textId="77777777" w:rsidR="005A7F14" w:rsidRDefault="0031751E">
            <w:pPr>
              <w:pStyle w:val="TableParagraph"/>
              <w:spacing w:before="1"/>
              <w:ind w:left="5"/>
              <w:jc w:val="center"/>
              <w:rPr>
                <w:sz w:val="20"/>
              </w:rPr>
            </w:pPr>
            <w:r>
              <w:rPr>
                <w:w w:val="99"/>
                <w:sz w:val="20"/>
              </w:rPr>
              <w:t>Y</w:t>
            </w:r>
          </w:p>
        </w:tc>
        <w:tc>
          <w:tcPr>
            <w:tcW w:w="901" w:type="dxa"/>
            <w:shd w:val="clear" w:color="auto" w:fill="E7FFBD"/>
          </w:tcPr>
          <w:p w14:paraId="1020519F" w14:textId="77777777" w:rsidR="005A7F14" w:rsidRDefault="0031751E">
            <w:pPr>
              <w:pStyle w:val="TableParagraph"/>
              <w:spacing w:before="1"/>
              <w:ind w:left="10"/>
              <w:jc w:val="center"/>
              <w:rPr>
                <w:sz w:val="20"/>
              </w:rPr>
            </w:pPr>
            <w:r>
              <w:rPr>
                <w:w w:val="99"/>
                <w:sz w:val="20"/>
              </w:rPr>
              <w:t>Y</w:t>
            </w:r>
          </w:p>
        </w:tc>
        <w:tc>
          <w:tcPr>
            <w:tcW w:w="1335" w:type="dxa"/>
          </w:tcPr>
          <w:p w14:paraId="42E7F2D1" w14:textId="77777777" w:rsidR="005A7F14" w:rsidRDefault="005A7F14">
            <w:pPr>
              <w:pStyle w:val="TableParagraph"/>
              <w:rPr>
                <w:rFonts w:ascii="Times New Roman"/>
                <w:sz w:val="20"/>
              </w:rPr>
            </w:pPr>
          </w:p>
        </w:tc>
      </w:tr>
      <w:tr w:rsidR="005A7F14" w14:paraId="319AF9B1" w14:textId="77777777">
        <w:trPr>
          <w:trHeight w:val="361"/>
        </w:trPr>
        <w:tc>
          <w:tcPr>
            <w:tcW w:w="756" w:type="dxa"/>
          </w:tcPr>
          <w:p w14:paraId="5BFFF624" w14:textId="77777777" w:rsidR="005A7F14" w:rsidRDefault="0031751E">
            <w:pPr>
              <w:pStyle w:val="TableParagraph"/>
              <w:spacing w:before="1"/>
              <w:ind w:right="266"/>
              <w:jc w:val="right"/>
              <w:rPr>
                <w:sz w:val="20"/>
              </w:rPr>
            </w:pPr>
            <w:r>
              <w:rPr>
                <w:w w:val="95"/>
                <w:sz w:val="20"/>
              </w:rPr>
              <w:t>53</w:t>
            </w:r>
          </w:p>
        </w:tc>
        <w:tc>
          <w:tcPr>
            <w:tcW w:w="1877" w:type="dxa"/>
          </w:tcPr>
          <w:p w14:paraId="0592B160" w14:textId="77777777" w:rsidR="005A7F14" w:rsidRDefault="0031751E">
            <w:pPr>
              <w:pStyle w:val="TableParagraph"/>
              <w:spacing w:before="1"/>
              <w:ind w:left="107"/>
              <w:rPr>
                <w:sz w:val="20"/>
              </w:rPr>
            </w:pPr>
            <w:proofErr w:type="spellStart"/>
            <w:r>
              <w:rPr>
                <w:sz w:val="20"/>
              </w:rPr>
              <w:t>Ngunya</w:t>
            </w:r>
            <w:proofErr w:type="spellEnd"/>
            <w:r>
              <w:rPr>
                <w:sz w:val="20"/>
              </w:rPr>
              <w:t xml:space="preserve"> Jargoon</w:t>
            </w:r>
          </w:p>
        </w:tc>
        <w:tc>
          <w:tcPr>
            <w:tcW w:w="1164" w:type="dxa"/>
          </w:tcPr>
          <w:p w14:paraId="67AB71BC" w14:textId="77777777" w:rsidR="005A7F14" w:rsidRDefault="0031751E">
            <w:pPr>
              <w:pStyle w:val="TableParagraph"/>
              <w:spacing w:before="1"/>
              <w:ind w:left="105" w:right="98"/>
              <w:jc w:val="center"/>
              <w:rPr>
                <w:sz w:val="20"/>
              </w:rPr>
            </w:pPr>
            <w:r>
              <w:rPr>
                <w:sz w:val="20"/>
              </w:rPr>
              <w:t>NSW</w:t>
            </w:r>
          </w:p>
        </w:tc>
        <w:tc>
          <w:tcPr>
            <w:tcW w:w="1179" w:type="dxa"/>
          </w:tcPr>
          <w:p w14:paraId="37372C8A" w14:textId="77777777" w:rsidR="005A7F14" w:rsidRDefault="005A7F14">
            <w:pPr>
              <w:pStyle w:val="TableParagraph"/>
              <w:rPr>
                <w:rFonts w:ascii="Times New Roman"/>
                <w:sz w:val="20"/>
              </w:rPr>
            </w:pPr>
          </w:p>
        </w:tc>
        <w:tc>
          <w:tcPr>
            <w:tcW w:w="835" w:type="dxa"/>
          </w:tcPr>
          <w:p w14:paraId="5AB46B8B" w14:textId="77777777" w:rsidR="005A7F14" w:rsidRDefault="005A7F14">
            <w:pPr>
              <w:pStyle w:val="TableParagraph"/>
              <w:rPr>
                <w:rFonts w:ascii="Times New Roman"/>
                <w:sz w:val="20"/>
              </w:rPr>
            </w:pPr>
          </w:p>
        </w:tc>
        <w:tc>
          <w:tcPr>
            <w:tcW w:w="1164" w:type="dxa"/>
            <w:shd w:val="clear" w:color="auto" w:fill="BED5FF"/>
          </w:tcPr>
          <w:p w14:paraId="568EA34A" w14:textId="77777777" w:rsidR="005A7F14" w:rsidRDefault="0031751E">
            <w:pPr>
              <w:pStyle w:val="TableParagraph"/>
              <w:spacing w:before="1"/>
              <w:ind w:left="5"/>
              <w:jc w:val="center"/>
              <w:rPr>
                <w:sz w:val="20"/>
              </w:rPr>
            </w:pPr>
            <w:r>
              <w:rPr>
                <w:w w:val="99"/>
                <w:sz w:val="20"/>
              </w:rPr>
              <w:t>Y</w:t>
            </w:r>
          </w:p>
        </w:tc>
        <w:tc>
          <w:tcPr>
            <w:tcW w:w="901" w:type="dxa"/>
          </w:tcPr>
          <w:p w14:paraId="391B2806" w14:textId="77777777" w:rsidR="005A7F14" w:rsidRDefault="005A7F14">
            <w:pPr>
              <w:pStyle w:val="TableParagraph"/>
              <w:rPr>
                <w:rFonts w:ascii="Times New Roman"/>
                <w:sz w:val="20"/>
              </w:rPr>
            </w:pPr>
          </w:p>
        </w:tc>
        <w:tc>
          <w:tcPr>
            <w:tcW w:w="1335" w:type="dxa"/>
          </w:tcPr>
          <w:p w14:paraId="61DB355C" w14:textId="77777777" w:rsidR="005A7F14" w:rsidRDefault="005A7F14">
            <w:pPr>
              <w:pStyle w:val="TableParagraph"/>
              <w:rPr>
                <w:rFonts w:ascii="Times New Roman"/>
                <w:sz w:val="20"/>
              </w:rPr>
            </w:pPr>
          </w:p>
        </w:tc>
      </w:tr>
      <w:tr w:rsidR="005A7F14" w14:paraId="6AC3873E" w14:textId="77777777">
        <w:trPr>
          <w:trHeight w:val="364"/>
        </w:trPr>
        <w:tc>
          <w:tcPr>
            <w:tcW w:w="756" w:type="dxa"/>
          </w:tcPr>
          <w:p w14:paraId="2169CB07" w14:textId="77777777" w:rsidR="005A7F14" w:rsidRDefault="0031751E">
            <w:pPr>
              <w:pStyle w:val="TableParagraph"/>
              <w:spacing w:before="3"/>
              <w:ind w:right="266"/>
              <w:jc w:val="right"/>
              <w:rPr>
                <w:sz w:val="20"/>
              </w:rPr>
            </w:pPr>
            <w:r>
              <w:rPr>
                <w:w w:val="95"/>
                <w:sz w:val="20"/>
              </w:rPr>
              <w:t>55</w:t>
            </w:r>
          </w:p>
        </w:tc>
        <w:tc>
          <w:tcPr>
            <w:tcW w:w="1877" w:type="dxa"/>
          </w:tcPr>
          <w:p w14:paraId="729E8935" w14:textId="77777777" w:rsidR="005A7F14" w:rsidRDefault="0031751E">
            <w:pPr>
              <w:pStyle w:val="TableParagraph"/>
              <w:spacing w:before="3"/>
              <w:ind w:left="107"/>
              <w:rPr>
                <w:sz w:val="20"/>
              </w:rPr>
            </w:pPr>
            <w:r>
              <w:rPr>
                <w:sz w:val="20"/>
              </w:rPr>
              <w:t>Eastern Kuku Yalanji</w:t>
            </w:r>
          </w:p>
        </w:tc>
        <w:tc>
          <w:tcPr>
            <w:tcW w:w="1164" w:type="dxa"/>
          </w:tcPr>
          <w:p w14:paraId="4702A2E6" w14:textId="77777777" w:rsidR="005A7F14" w:rsidRDefault="0031751E">
            <w:pPr>
              <w:pStyle w:val="TableParagraph"/>
              <w:spacing w:before="3"/>
              <w:ind w:left="106" w:right="98"/>
              <w:jc w:val="center"/>
              <w:rPr>
                <w:sz w:val="20"/>
              </w:rPr>
            </w:pPr>
            <w:r>
              <w:rPr>
                <w:sz w:val="20"/>
              </w:rPr>
              <w:t>QLD</w:t>
            </w:r>
          </w:p>
        </w:tc>
        <w:tc>
          <w:tcPr>
            <w:tcW w:w="1179" w:type="dxa"/>
            <w:shd w:val="clear" w:color="auto" w:fill="F4C4FB"/>
          </w:tcPr>
          <w:p w14:paraId="4B303A14" w14:textId="77777777" w:rsidR="005A7F14" w:rsidRDefault="0031751E">
            <w:pPr>
              <w:pStyle w:val="TableParagraph"/>
              <w:spacing w:before="3"/>
              <w:ind w:left="9"/>
              <w:jc w:val="center"/>
              <w:rPr>
                <w:sz w:val="20"/>
              </w:rPr>
            </w:pPr>
            <w:r>
              <w:rPr>
                <w:w w:val="99"/>
                <w:sz w:val="20"/>
              </w:rPr>
              <w:t>Y</w:t>
            </w:r>
          </w:p>
        </w:tc>
        <w:tc>
          <w:tcPr>
            <w:tcW w:w="835" w:type="dxa"/>
          </w:tcPr>
          <w:p w14:paraId="1430FA05" w14:textId="77777777" w:rsidR="005A7F14" w:rsidRDefault="005A7F14">
            <w:pPr>
              <w:pStyle w:val="TableParagraph"/>
              <w:rPr>
                <w:rFonts w:ascii="Times New Roman"/>
                <w:sz w:val="20"/>
              </w:rPr>
            </w:pPr>
          </w:p>
        </w:tc>
        <w:tc>
          <w:tcPr>
            <w:tcW w:w="1164" w:type="dxa"/>
          </w:tcPr>
          <w:p w14:paraId="35F442BF" w14:textId="77777777" w:rsidR="005A7F14" w:rsidRDefault="005A7F14">
            <w:pPr>
              <w:pStyle w:val="TableParagraph"/>
              <w:rPr>
                <w:rFonts w:ascii="Times New Roman"/>
                <w:sz w:val="20"/>
              </w:rPr>
            </w:pPr>
          </w:p>
        </w:tc>
        <w:tc>
          <w:tcPr>
            <w:tcW w:w="901" w:type="dxa"/>
          </w:tcPr>
          <w:p w14:paraId="76B16450" w14:textId="77777777" w:rsidR="005A7F14" w:rsidRDefault="005A7F14">
            <w:pPr>
              <w:pStyle w:val="TableParagraph"/>
              <w:rPr>
                <w:rFonts w:ascii="Times New Roman"/>
                <w:sz w:val="20"/>
              </w:rPr>
            </w:pPr>
          </w:p>
        </w:tc>
        <w:tc>
          <w:tcPr>
            <w:tcW w:w="1335" w:type="dxa"/>
          </w:tcPr>
          <w:p w14:paraId="0E62437B" w14:textId="77777777" w:rsidR="005A7F14" w:rsidRDefault="005A7F14">
            <w:pPr>
              <w:pStyle w:val="TableParagraph"/>
              <w:rPr>
                <w:rFonts w:ascii="Times New Roman"/>
                <w:sz w:val="20"/>
              </w:rPr>
            </w:pPr>
          </w:p>
        </w:tc>
      </w:tr>
      <w:tr w:rsidR="005A7F14" w14:paraId="696DFF12" w14:textId="77777777">
        <w:trPr>
          <w:trHeight w:val="364"/>
        </w:trPr>
        <w:tc>
          <w:tcPr>
            <w:tcW w:w="756" w:type="dxa"/>
          </w:tcPr>
          <w:p w14:paraId="6A285340" w14:textId="77777777" w:rsidR="005A7F14" w:rsidRDefault="0031751E">
            <w:pPr>
              <w:pStyle w:val="TableParagraph"/>
              <w:spacing w:before="3"/>
              <w:ind w:right="266"/>
              <w:jc w:val="right"/>
              <w:rPr>
                <w:sz w:val="20"/>
              </w:rPr>
            </w:pPr>
            <w:r>
              <w:rPr>
                <w:w w:val="95"/>
                <w:sz w:val="20"/>
              </w:rPr>
              <w:t>56</w:t>
            </w:r>
          </w:p>
        </w:tc>
        <w:tc>
          <w:tcPr>
            <w:tcW w:w="1877" w:type="dxa"/>
          </w:tcPr>
          <w:p w14:paraId="280EB683" w14:textId="77777777" w:rsidR="005A7F14" w:rsidRDefault="0031751E">
            <w:pPr>
              <w:pStyle w:val="TableParagraph"/>
              <w:spacing w:before="3"/>
              <w:ind w:left="107"/>
              <w:rPr>
                <w:sz w:val="20"/>
              </w:rPr>
            </w:pPr>
            <w:r>
              <w:rPr>
                <w:sz w:val="20"/>
              </w:rPr>
              <w:t>Bardi Jawi</w:t>
            </w:r>
          </w:p>
        </w:tc>
        <w:tc>
          <w:tcPr>
            <w:tcW w:w="1164" w:type="dxa"/>
          </w:tcPr>
          <w:p w14:paraId="577C8785" w14:textId="77777777" w:rsidR="005A7F14" w:rsidRDefault="0031751E">
            <w:pPr>
              <w:pStyle w:val="TableParagraph"/>
              <w:spacing w:before="3"/>
              <w:ind w:left="105" w:right="98"/>
              <w:jc w:val="center"/>
              <w:rPr>
                <w:sz w:val="20"/>
              </w:rPr>
            </w:pPr>
            <w:r>
              <w:rPr>
                <w:sz w:val="20"/>
              </w:rPr>
              <w:t>WA</w:t>
            </w:r>
          </w:p>
        </w:tc>
        <w:tc>
          <w:tcPr>
            <w:tcW w:w="1179" w:type="dxa"/>
          </w:tcPr>
          <w:p w14:paraId="5F67E18A" w14:textId="77777777" w:rsidR="005A7F14" w:rsidRDefault="005A7F14">
            <w:pPr>
              <w:pStyle w:val="TableParagraph"/>
              <w:rPr>
                <w:rFonts w:ascii="Times New Roman"/>
                <w:sz w:val="20"/>
              </w:rPr>
            </w:pPr>
          </w:p>
        </w:tc>
        <w:tc>
          <w:tcPr>
            <w:tcW w:w="835" w:type="dxa"/>
          </w:tcPr>
          <w:p w14:paraId="2F445E60" w14:textId="77777777" w:rsidR="005A7F14" w:rsidRDefault="005A7F14">
            <w:pPr>
              <w:pStyle w:val="TableParagraph"/>
              <w:rPr>
                <w:rFonts w:ascii="Times New Roman"/>
                <w:sz w:val="20"/>
              </w:rPr>
            </w:pPr>
          </w:p>
        </w:tc>
        <w:tc>
          <w:tcPr>
            <w:tcW w:w="1164" w:type="dxa"/>
            <w:shd w:val="clear" w:color="auto" w:fill="BED5FF"/>
          </w:tcPr>
          <w:p w14:paraId="6CE54A49" w14:textId="77777777" w:rsidR="005A7F14" w:rsidRDefault="0031751E">
            <w:pPr>
              <w:pStyle w:val="TableParagraph"/>
              <w:spacing w:before="3"/>
              <w:ind w:left="5"/>
              <w:jc w:val="center"/>
              <w:rPr>
                <w:sz w:val="20"/>
              </w:rPr>
            </w:pPr>
            <w:r>
              <w:rPr>
                <w:w w:val="99"/>
                <w:sz w:val="20"/>
              </w:rPr>
              <w:t>Y</w:t>
            </w:r>
          </w:p>
        </w:tc>
        <w:tc>
          <w:tcPr>
            <w:tcW w:w="901" w:type="dxa"/>
          </w:tcPr>
          <w:p w14:paraId="335FC250" w14:textId="77777777" w:rsidR="005A7F14" w:rsidRDefault="005A7F14">
            <w:pPr>
              <w:pStyle w:val="TableParagraph"/>
              <w:rPr>
                <w:rFonts w:ascii="Times New Roman"/>
                <w:sz w:val="20"/>
              </w:rPr>
            </w:pPr>
          </w:p>
        </w:tc>
        <w:tc>
          <w:tcPr>
            <w:tcW w:w="1335" w:type="dxa"/>
          </w:tcPr>
          <w:p w14:paraId="7BAE5133" w14:textId="77777777" w:rsidR="005A7F14" w:rsidRDefault="005A7F14">
            <w:pPr>
              <w:pStyle w:val="TableParagraph"/>
              <w:rPr>
                <w:rFonts w:ascii="Times New Roman"/>
                <w:sz w:val="20"/>
              </w:rPr>
            </w:pPr>
          </w:p>
        </w:tc>
      </w:tr>
      <w:tr w:rsidR="005A7F14" w14:paraId="54A4087A" w14:textId="77777777">
        <w:trPr>
          <w:trHeight w:val="364"/>
        </w:trPr>
        <w:tc>
          <w:tcPr>
            <w:tcW w:w="756" w:type="dxa"/>
          </w:tcPr>
          <w:p w14:paraId="3BDF44F5" w14:textId="77777777" w:rsidR="005A7F14" w:rsidRDefault="0031751E">
            <w:pPr>
              <w:pStyle w:val="TableParagraph"/>
              <w:spacing w:before="1"/>
              <w:ind w:right="266"/>
              <w:jc w:val="right"/>
              <w:rPr>
                <w:sz w:val="20"/>
              </w:rPr>
            </w:pPr>
            <w:r>
              <w:rPr>
                <w:w w:val="95"/>
                <w:sz w:val="20"/>
              </w:rPr>
              <w:t>57</w:t>
            </w:r>
          </w:p>
        </w:tc>
        <w:tc>
          <w:tcPr>
            <w:tcW w:w="1877" w:type="dxa"/>
          </w:tcPr>
          <w:p w14:paraId="7F6548A9" w14:textId="77777777" w:rsidR="005A7F14" w:rsidRDefault="0031751E">
            <w:pPr>
              <w:pStyle w:val="TableParagraph"/>
              <w:spacing w:before="1"/>
              <w:ind w:left="107"/>
              <w:rPr>
                <w:sz w:val="20"/>
              </w:rPr>
            </w:pPr>
            <w:proofErr w:type="spellStart"/>
            <w:r>
              <w:rPr>
                <w:sz w:val="20"/>
              </w:rPr>
              <w:t>Girrigun</w:t>
            </w:r>
            <w:proofErr w:type="spellEnd"/>
          </w:p>
        </w:tc>
        <w:tc>
          <w:tcPr>
            <w:tcW w:w="1164" w:type="dxa"/>
          </w:tcPr>
          <w:p w14:paraId="6BA17D8B" w14:textId="77777777" w:rsidR="005A7F14" w:rsidRDefault="0031751E">
            <w:pPr>
              <w:pStyle w:val="TableParagraph"/>
              <w:spacing w:before="1"/>
              <w:ind w:left="106" w:right="98"/>
              <w:jc w:val="center"/>
              <w:rPr>
                <w:sz w:val="20"/>
              </w:rPr>
            </w:pPr>
            <w:r>
              <w:rPr>
                <w:sz w:val="20"/>
              </w:rPr>
              <w:t>QLD</w:t>
            </w:r>
          </w:p>
        </w:tc>
        <w:tc>
          <w:tcPr>
            <w:tcW w:w="1179" w:type="dxa"/>
            <w:shd w:val="clear" w:color="auto" w:fill="F4C4FB"/>
          </w:tcPr>
          <w:p w14:paraId="2D5A2AF8" w14:textId="77777777" w:rsidR="005A7F14" w:rsidRDefault="0031751E">
            <w:pPr>
              <w:pStyle w:val="TableParagraph"/>
              <w:spacing w:before="1"/>
              <w:ind w:left="9"/>
              <w:jc w:val="center"/>
              <w:rPr>
                <w:sz w:val="20"/>
              </w:rPr>
            </w:pPr>
            <w:r>
              <w:rPr>
                <w:w w:val="99"/>
                <w:sz w:val="20"/>
              </w:rPr>
              <w:t>Y</w:t>
            </w:r>
          </w:p>
        </w:tc>
        <w:tc>
          <w:tcPr>
            <w:tcW w:w="835" w:type="dxa"/>
          </w:tcPr>
          <w:p w14:paraId="772F2E1A" w14:textId="77777777" w:rsidR="005A7F14" w:rsidRDefault="005A7F14">
            <w:pPr>
              <w:pStyle w:val="TableParagraph"/>
              <w:rPr>
                <w:rFonts w:ascii="Times New Roman"/>
                <w:sz w:val="20"/>
              </w:rPr>
            </w:pPr>
          </w:p>
        </w:tc>
        <w:tc>
          <w:tcPr>
            <w:tcW w:w="1164" w:type="dxa"/>
            <w:shd w:val="clear" w:color="auto" w:fill="BED5FF"/>
          </w:tcPr>
          <w:p w14:paraId="68089C9F" w14:textId="77777777" w:rsidR="005A7F14" w:rsidRDefault="0031751E">
            <w:pPr>
              <w:pStyle w:val="TableParagraph"/>
              <w:spacing w:before="1"/>
              <w:ind w:left="5"/>
              <w:jc w:val="center"/>
              <w:rPr>
                <w:sz w:val="20"/>
              </w:rPr>
            </w:pPr>
            <w:r>
              <w:rPr>
                <w:w w:val="99"/>
                <w:sz w:val="20"/>
              </w:rPr>
              <w:t>Y</w:t>
            </w:r>
          </w:p>
        </w:tc>
        <w:tc>
          <w:tcPr>
            <w:tcW w:w="901" w:type="dxa"/>
          </w:tcPr>
          <w:p w14:paraId="2D6D5F4C" w14:textId="77777777" w:rsidR="005A7F14" w:rsidRDefault="005A7F14">
            <w:pPr>
              <w:pStyle w:val="TableParagraph"/>
              <w:rPr>
                <w:rFonts w:ascii="Times New Roman"/>
                <w:sz w:val="20"/>
              </w:rPr>
            </w:pPr>
          </w:p>
        </w:tc>
        <w:tc>
          <w:tcPr>
            <w:tcW w:w="1335" w:type="dxa"/>
          </w:tcPr>
          <w:p w14:paraId="57EDB0CA" w14:textId="77777777" w:rsidR="005A7F14" w:rsidRDefault="005A7F14">
            <w:pPr>
              <w:pStyle w:val="TableParagraph"/>
              <w:rPr>
                <w:rFonts w:ascii="Times New Roman"/>
                <w:sz w:val="20"/>
              </w:rPr>
            </w:pPr>
          </w:p>
        </w:tc>
      </w:tr>
      <w:tr w:rsidR="005A7F14" w14:paraId="1330B8B9" w14:textId="77777777">
        <w:trPr>
          <w:trHeight w:val="364"/>
        </w:trPr>
        <w:tc>
          <w:tcPr>
            <w:tcW w:w="756" w:type="dxa"/>
          </w:tcPr>
          <w:p w14:paraId="33E61B05" w14:textId="77777777" w:rsidR="005A7F14" w:rsidRDefault="0031751E">
            <w:pPr>
              <w:pStyle w:val="TableParagraph"/>
              <w:spacing w:before="1"/>
              <w:ind w:right="266"/>
              <w:jc w:val="right"/>
              <w:rPr>
                <w:sz w:val="20"/>
              </w:rPr>
            </w:pPr>
            <w:r>
              <w:rPr>
                <w:w w:val="95"/>
                <w:sz w:val="20"/>
              </w:rPr>
              <w:t>59</w:t>
            </w:r>
          </w:p>
        </w:tc>
        <w:tc>
          <w:tcPr>
            <w:tcW w:w="1877" w:type="dxa"/>
          </w:tcPr>
          <w:p w14:paraId="1DA75B78" w14:textId="77777777" w:rsidR="005A7F14" w:rsidRDefault="0031751E">
            <w:pPr>
              <w:pStyle w:val="TableParagraph"/>
              <w:spacing w:before="1"/>
              <w:ind w:left="107"/>
              <w:rPr>
                <w:sz w:val="20"/>
              </w:rPr>
            </w:pPr>
            <w:r>
              <w:rPr>
                <w:sz w:val="20"/>
              </w:rPr>
              <w:t>Dambimangari</w:t>
            </w:r>
          </w:p>
        </w:tc>
        <w:tc>
          <w:tcPr>
            <w:tcW w:w="1164" w:type="dxa"/>
          </w:tcPr>
          <w:p w14:paraId="386CDD77" w14:textId="77777777" w:rsidR="005A7F14" w:rsidRDefault="0031751E">
            <w:pPr>
              <w:pStyle w:val="TableParagraph"/>
              <w:spacing w:before="1"/>
              <w:ind w:left="105" w:right="98"/>
              <w:jc w:val="center"/>
              <w:rPr>
                <w:sz w:val="20"/>
              </w:rPr>
            </w:pPr>
            <w:r>
              <w:rPr>
                <w:sz w:val="20"/>
              </w:rPr>
              <w:t>WA</w:t>
            </w:r>
          </w:p>
        </w:tc>
        <w:tc>
          <w:tcPr>
            <w:tcW w:w="1179" w:type="dxa"/>
            <w:shd w:val="clear" w:color="auto" w:fill="F4C4FB"/>
          </w:tcPr>
          <w:p w14:paraId="4378F406" w14:textId="77777777" w:rsidR="005A7F14" w:rsidRDefault="0031751E">
            <w:pPr>
              <w:pStyle w:val="TableParagraph"/>
              <w:spacing w:before="1"/>
              <w:ind w:left="9"/>
              <w:jc w:val="center"/>
              <w:rPr>
                <w:sz w:val="20"/>
              </w:rPr>
            </w:pPr>
            <w:r>
              <w:rPr>
                <w:w w:val="99"/>
                <w:sz w:val="20"/>
              </w:rPr>
              <w:t>Y</w:t>
            </w:r>
          </w:p>
        </w:tc>
        <w:tc>
          <w:tcPr>
            <w:tcW w:w="835" w:type="dxa"/>
          </w:tcPr>
          <w:p w14:paraId="12366333" w14:textId="77777777" w:rsidR="005A7F14" w:rsidRDefault="005A7F14">
            <w:pPr>
              <w:pStyle w:val="TableParagraph"/>
              <w:rPr>
                <w:rFonts w:ascii="Times New Roman"/>
                <w:sz w:val="20"/>
              </w:rPr>
            </w:pPr>
          </w:p>
        </w:tc>
        <w:tc>
          <w:tcPr>
            <w:tcW w:w="1164" w:type="dxa"/>
            <w:shd w:val="clear" w:color="auto" w:fill="BED5FF"/>
          </w:tcPr>
          <w:p w14:paraId="4B8846E9" w14:textId="77777777" w:rsidR="005A7F14" w:rsidRDefault="0031751E">
            <w:pPr>
              <w:pStyle w:val="TableParagraph"/>
              <w:spacing w:before="1"/>
              <w:ind w:left="5"/>
              <w:jc w:val="center"/>
              <w:rPr>
                <w:sz w:val="20"/>
              </w:rPr>
            </w:pPr>
            <w:r>
              <w:rPr>
                <w:w w:val="99"/>
                <w:sz w:val="20"/>
              </w:rPr>
              <w:t>Y</w:t>
            </w:r>
          </w:p>
        </w:tc>
        <w:tc>
          <w:tcPr>
            <w:tcW w:w="901" w:type="dxa"/>
          </w:tcPr>
          <w:p w14:paraId="46153901" w14:textId="77777777" w:rsidR="005A7F14" w:rsidRDefault="005A7F14">
            <w:pPr>
              <w:pStyle w:val="TableParagraph"/>
              <w:rPr>
                <w:rFonts w:ascii="Times New Roman"/>
                <w:sz w:val="20"/>
              </w:rPr>
            </w:pPr>
          </w:p>
        </w:tc>
        <w:tc>
          <w:tcPr>
            <w:tcW w:w="1335" w:type="dxa"/>
          </w:tcPr>
          <w:p w14:paraId="3738A578" w14:textId="77777777" w:rsidR="005A7F14" w:rsidRDefault="005A7F14">
            <w:pPr>
              <w:pStyle w:val="TableParagraph"/>
              <w:rPr>
                <w:rFonts w:ascii="Times New Roman"/>
                <w:sz w:val="20"/>
              </w:rPr>
            </w:pPr>
          </w:p>
        </w:tc>
      </w:tr>
      <w:tr w:rsidR="005A7F14" w14:paraId="71A6F5DF" w14:textId="77777777">
        <w:trPr>
          <w:trHeight w:val="365"/>
        </w:trPr>
        <w:tc>
          <w:tcPr>
            <w:tcW w:w="756" w:type="dxa"/>
          </w:tcPr>
          <w:p w14:paraId="4F2B59A9" w14:textId="77777777" w:rsidR="005A7F14" w:rsidRDefault="0031751E">
            <w:pPr>
              <w:pStyle w:val="TableParagraph"/>
              <w:spacing w:before="2"/>
              <w:ind w:right="266"/>
              <w:jc w:val="right"/>
              <w:rPr>
                <w:sz w:val="20"/>
              </w:rPr>
            </w:pPr>
            <w:r>
              <w:rPr>
                <w:w w:val="95"/>
                <w:sz w:val="20"/>
              </w:rPr>
              <w:t>60</w:t>
            </w:r>
          </w:p>
        </w:tc>
        <w:tc>
          <w:tcPr>
            <w:tcW w:w="1877" w:type="dxa"/>
          </w:tcPr>
          <w:p w14:paraId="4D1B9B09" w14:textId="77777777" w:rsidR="005A7F14" w:rsidRDefault="0031751E">
            <w:pPr>
              <w:pStyle w:val="TableParagraph"/>
              <w:spacing w:before="2"/>
              <w:ind w:left="107"/>
              <w:rPr>
                <w:sz w:val="20"/>
              </w:rPr>
            </w:pPr>
            <w:proofErr w:type="spellStart"/>
            <w:r>
              <w:rPr>
                <w:sz w:val="20"/>
              </w:rPr>
              <w:t>Balangarra</w:t>
            </w:r>
            <w:proofErr w:type="spellEnd"/>
          </w:p>
        </w:tc>
        <w:tc>
          <w:tcPr>
            <w:tcW w:w="1164" w:type="dxa"/>
          </w:tcPr>
          <w:p w14:paraId="37177EAA" w14:textId="77777777" w:rsidR="005A7F14" w:rsidRDefault="0031751E">
            <w:pPr>
              <w:pStyle w:val="TableParagraph"/>
              <w:spacing w:before="2"/>
              <w:ind w:left="105" w:right="98"/>
              <w:jc w:val="center"/>
              <w:rPr>
                <w:sz w:val="20"/>
              </w:rPr>
            </w:pPr>
            <w:r>
              <w:rPr>
                <w:sz w:val="20"/>
              </w:rPr>
              <w:t>WA</w:t>
            </w:r>
          </w:p>
        </w:tc>
        <w:tc>
          <w:tcPr>
            <w:tcW w:w="1179" w:type="dxa"/>
          </w:tcPr>
          <w:p w14:paraId="1B6303CC" w14:textId="77777777" w:rsidR="005A7F14" w:rsidRDefault="005A7F14">
            <w:pPr>
              <w:pStyle w:val="TableParagraph"/>
              <w:rPr>
                <w:rFonts w:ascii="Times New Roman"/>
                <w:sz w:val="20"/>
              </w:rPr>
            </w:pPr>
          </w:p>
        </w:tc>
        <w:tc>
          <w:tcPr>
            <w:tcW w:w="835" w:type="dxa"/>
          </w:tcPr>
          <w:p w14:paraId="409559E3" w14:textId="77777777" w:rsidR="005A7F14" w:rsidRDefault="005A7F14">
            <w:pPr>
              <w:pStyle w:val="TableParagraph"/>
              <w:rPr>
                <w:rFonts w:ascii="Times New Roman"/>
                <w:sz w:val="20"/>
              </w:rPr>
            </w:pPr>
          </w:p>
        </w:tc>
        <w:tc>
          <w:tcPr>
            <w:tcW w:w="1164" w:type="dxa"/>
            <w:shd w:val="clear" w:color="auto" w:fill="BED5FF"/>
          </w:tcPr>
          <w:p w14:paraId="3CA63CD2" w14:textId="77777777" w:rsidR="005A7F14" w:rsidRDefault="0031751E">
            <w:pPr>
              <w:pStyle w:val="TableParagraph"/>
              <w:spacing w:before="2"/>
              <w:ind w:left="5"/>
              <w:jc w:val="center"/>
              <w:rPr>
                <w:sz w:val="20"/>
              </w:rPr>
            </w:pPr>
            <w:r>
              <w:rPr>
                <w:w w:val="99"/>
                <w:sz w:val="20"/>
              </w:rPr>
              <w:t>Y</w:t>
            </w:r>
          </w:p>
        </w:tc>
        <w:tc>
          <w:tcPr>
            <w:tcW w:w="901" w:type="dxa"/>
          </w:tcPr>
          <w:p w14:paraId="50781895" w14:textId="77777777" w:rsidR="005A7F14" w:rsidRDefault="005A7F14">
            <w:pPr>
              <w:pStyle w:val="TableParagraph"/>
              <w:rPr>
                <w:rFonts w:ascii="Times New Roman"/>
                <w:sz w:val="20"/>
              </w:rPr>
            </w:pPr>
          </w:p>
        </w:tc>
        <w:tc>
          <w:tcPr>
            <w:tcW w:w="1335" w:type="dxa"/>
          </w:tcPr>
          <w:p w14:paraId="2A53F33B" w14:textId="77777777" w:rsidR="005A7F14" w:rsidRDefault="005A7F14">
            <w:pPr>
              <w:pStyle w:val="TableParagraph"/>
              <w:rPr>
                <w:rFonts w:ascii="Times New Roman"/>
                <w:sz w:val="20"/>
              </w:rPr>
            </w:pPr>
          </w:p>
        </w:tc>
      </w:tr>
      <w:tr w:rsidR="005A7F14" w14:paraId="58D2D883" w14:textId="77777777">
        <w:trPr>
          <w:trHeight w:val="364"/>
        </w:trPr>
        <w:tc>
          <w:tcPr>
            <w:tcW w:w="756" w:type="dxa"/>
          </w:tcPr>
          <w:p w14:paraId="2D336B3E" w14:textId="77777777" w:rsidR="005A7F14" w:rsidRDefault="0031751E">
            <w:pPr>
              <w:pStyle w:val="TableParagraph"/>
              <w:spacing w:before="1"/>
              <w:ind w:right="266"/>
              <w:jc w:val="right"/>
              <w:rPr>
                <w:sz w:val="20"/>
              </w:rPr>
            </w:pPr>
            <w:r>
              <w:rPr>
                <w:w w:val="95"/>
                <w:sz w:val="20"/>
              </w:rPr>
              <w:t>61</w:t>
            </w:r>
          </w:p>
        </w:tc>
        <w:tc>
          <w:tcPr>
            <w:tcW w:w="1877" w:type="dxa"/>
          </w:tcPr>
          <w:p w14:paraId="28A5ED7C" w14:textId="77777777" w:rsidR="005A7F14" w:rsidRDefault="0031751E">
            <w:pPr>
              <w:pStyle w:val="TableParagraph"/>
              <w:spacing w:before="1"/>
              <w:ind w:left="107"/>
              <w:rPr>
                <w:sz w:val="20"/>
              </w:rPr>
            </w:pPr>
            <w:proofErr w:type="spellStart"/>
            <w:r>
              <w:rPr>
                <w:sz w:val="20"/>
              </w:rPr>
              <w:t>Thuwathu</w:t>
            </w:r>
            <w:proofErr w:type="spellEnd"/>
            <w:r>
              <w:rPr>
                <w:sz w:val="20"/>
              </w:rPr>
              <w:t>/</w:t>
            </w:r>
            <w:proofErr w:type="spellStart"/>
            <w:r>
              <w:rPr>
                <w:sz w:val="20"/>
              </w:rPr>
              <w:t>Bujimulla</w:t>
            </w:r>
            <w:proofErr w:type="spellEnd"/>
          </w:p>
        </w:tc>
        <w:tc>
          <w:tcPr>
            <w:tcW w:w="1164" w:type="dxa"/>
          </w:tcPr>
          <w:p w14:paraId="00947E39" w14:textId="77777777" w:rsidR="005A7F14" w:rsidRDefault="0031751E">
            <w:pPr>
              <w:pStyle w:val="TableParagraph"/>
              <w:spacing w:before="1"/>
              <w:ind w:left="106" w:right="98"/>
              <w:jc w:val="center"/>
              <w:rPr>
                <w:sz w:val="20"/>
              </w:rPr>
            </w:pPr>
            <w:r>
              <w:rPr>
                <w:sz w:val="20"/>
              </w:rPr>
              <w:t>QLD</w:t>
            </w:r>
          </w:p>
        </w:tc>
        <w:tc>
          <w:tcPr>
            <w:tcW w:w="1179" w:type="dxa"/>
          </w:tcPr>
          <w:p w14:paraId="5BBB11D1" w14:textId="77777777" w:rsidR="005A7F14" w:rsidRDefault="005A7F14">
            <w:pPr>
              <w:pStyle w:val="TableParagraph"/>
              <w:rPr>
                <w:rFonts w:ascii="Times New Roman"/>
                <w:sz w:val="20"/>
              </w:rPr>
            </w:pPr>
          </w:p>
        </w:tc>
        <w:tc>
          <w:tcPr>
            <w:tcW w:w="835" w:type="dxa"/>
          </w:tcPr>
          <w:p w14:paraId="32A77936" w14:textId="77777777" w:rsidR="005A7F14" w:rsidRDefault="005A7F14">
            <w:pPr>
              <w:pStyle w:val="TableParagraph"/>
              <w:rPr>
                <w:rFonts w:ascii="Times New Roman"/>
                <w:sz w:val="20"/>
              </w:rPr>
            </w:pPr>
          </w:p>
        </w:tc>
        <w:tc>
          <w:tcPr>
            <w:tcW w:w="1164" w:type="dxa"/>
            <w:shd w:val="clear" w:color="auto" w:fill="BED5FF"/>
          </w:tcPr>
          <w:p w14:paraId="5DE1DC57" w14:textId="77777777" w:rsidR="005A7F14" w:rsidRDefault="0031751E">
            <w:pPr>
              <w:pStyle w:val="TableParagraph"/>
              <w:spacing w:before="1"/>
              <w:ind w:left="5"/>
              <w:jc w:val="center"/>
              <w:rPr>
                <w:sz w:val="20"/>
              </w:rPr>
            </w:pPr>
            <w:r>
              <w:rPr>
                <w:w w:val="99"/>
                <w:sz w:val="20"/>
              </w:rPr>
              <w:t>Y</w:t>
            </w:r>
          </w:p>
        </w:tc>
        <w:tc>
          <w:tcPr>
            <w:tcW w:w="901" w:type="dxa"/>
          </w:tcPr>
          <w:p w14:paraId="3CCED9A3" w14:textId="77777777" w:rsidR="005A7F14" w:rsidRDefault="005A7F14">
            <w:pPr>
              <w:pStyle w:val="TableParagraph"/>
              <w:rPr>
                <w:rFonts w:ascii="Times New Roman"/>
                <w:sz w:val="20"/>
              </w:rPr>
            </w:pPr>
          </w:p>
        </w:tc>
        <w:tc>
          <w:tcPr>
            <w:tcW w:w="1335" w:type="dxa"/>
          </w:tcPr>
          <w:p w14:paraId="6680087F" w14:textId="77777777" w:rsidR="005A7F14" w:rsidRDefault="005A7F14">
            <w:pPr>
              <w:pStyle w:val="TableParagraph"/>
              <w:rPr>
                <w:rFonts w:ascii="Times New Roman"/>
                <w:sz w:val="20"/>
              </w:rPr>
            </w:pPr>
          </w:p>
        </w:tc>
      </w:tr>
      <w:tr w:rsidR="005A7F14" w14:paraId="3B672F58" w14:textId="77777777">
        <w:trPr>
          <w:trHeight w:val="364"/>
        </w:trPr>
        <w:tc>
          <w:tcPr>
            <w:tcW w:w="756" w:type="dxa"/>
          </w:tcPr>
          <w:p w14:paraId="2BC8F468" w14:textId="77777777" w:rsidR="005A7F14" w:rsidRDefault="0031751E">
            <w:pPr>
              <w:pStyle w:val="TableParagraph"/>
              <w:spacing w:before="1"/>
              <w:ind w:right="266"/>
              <w:jc w:val="right"/>
              <w:rPr>
                <w:sz w:val="20"/>
              </w:rPr>
            </w:pPr>
            <w:r>
              <w:rPr>
                <w:w w:val="95"/>
                <w:sz w:val="20"/>
              </w:rPr>
              <w:t>63</w:t>
            </w:r>
          </w:p>
        </w:tc>
        <w:tc>
          <w:tcPr>
            <w:tcW w:w="1877" w:type="dxa"/>
          </w:tcPr>
          <w:p w14:paraId="5754F2F3" w14:textId="77777777" w:rsidR="005A7F14" w:rsidRDefault="0031751E">
            <w:pPr>
              <w:pStyle w:val="TableParagraph"/>
              <w:spacing w:before="1"/>
              <w:ind w:left="107"/>
              <w:rPr>
                <w:sz w:val="20"/>
              </w:rPr>
            </w:pPr>
            <w:proofErr w:type="spellStart"/>
            <w:r>
              <w:rPr>
                <w:sz w:val="20"/>
              </w:rPr>
              <w:t>Wardaman</w:t>
            </w:r>
            <w:proofErr w:type="spellEnd"/>
          </w:p>
        </w:tc>
        <w:tc>
          <w:tcPr>
            <w:tcW w:w="1164" w:type="dxa"/>
          </w:tcPr>
          <w:p w14:paraId="70F944D1" w14:textId="77777777" w:rsidR="005A7F14" w:rsidRDefault="0031751E">
            <w:pPr>
              <w:pStyle w:val="TableParagraph"/>
              <w:spacing w:before="1"/>
              <w:ind w:left="108" w:right="98"/>
              <w:jc w:val="center"/>
              <w:rPr>
                <w:sz w:val="20"/>
              </w:rPr>
            </w:pPr>
            <w:r>
              <w:rPr>
                <w:sz w:val="20"/>
              </w:rPr>
              <w:t>NT</w:t>
            </w:r>
          </w:p>
        </w:tc>
        <w:tc>
          <w:tcPr>
            <w:tcW w:w="1179" w:type="dxa"/>
          </w:tcPr>
          <w:p w14:paraId="25D1FF63" w14:textId="77777777" w:rsidR="005A7F14" w:rsidRDefault="005A7F14">
            <w:pPr>
              <w:pStyle w:val="TableParagraph"/>
              <w:rPr>
                <w:rFonts w:ascii="Times New Roman"/>
                <w:sz w:val="20"/>
              </w:rPr>
            </w:pPr>
          </w:p>
        </w:tc>
        <w:tc>
          <w:tcPr>
            <w:tcW w:w="835" w:type="dxa"/>
          </w:tcPr>
          <w:p w14:paraId="043F3D61" w14:textId="77777777" w:rsidR="005A7F14" w:rsidRDefault="005A7F14">
            <w:pPr>
              <w:pStyle w:val="TableParagraph"/>
              <w:rPr>
                <w:rFonts w:ascii="Times New Roman"/>
                <w:sz w:val="20"/>
              </w:rPr>
            </w:pPr>
          </w:p>
        </w:tc>
        <w:tc>
          <w:tcPr>
            <w:tcW w:w="1164" w:type="dxa"/>
          </w:tcPr>
          <w:p w14:paraId="09225F80" w14:textId="77777777" w:rsidR="005A7F14" w:rsidRDefault="005A7F14">
            <w:pPr>
              <w:pStyle w:val="TableParagraph"/>
              <w:rPr>
                <w:rFonts w:ascii="Times New Roman"/>
                <w:sz w:val="20"/>
              </w:rPr>
            </w:pPr>
          </w:p>
        </w:tc>
        <w:tc>
          <w:tcPr>
            <w:tcW w:w="901" w:type="dxa"/>
            <w:shd w:val="clear" w:color="auto" w:fill="E7FFBD"/>
          </w:tcPr>
          <w:p w14:paraId="06B659E4" w14:textId="77777777" w:rsidR="005A7F14" w:rsidRDefault="0031751E">
            <w:pPr>
              <w:pStyle w:val="TableParagraph"/>
              <w:spacing w:before="1"/>
              <w:ind w:left="10"/>
              <w:jc w:val="center"/>
              <w:rPr>
                <w:sz w:val="20"/>
              </w:rPr>
            </w:pPr>
            <w:r>
              <w:rPr>
                <w:w w:val="99"/>
                <w:sz w:val="20"/>
              </w:rPr>
              <w:t>Y</w:t>
            </w:r>
          </w:p>
        </w:tc>
        <w:tc>
          <w:tcPr>
            <w:tcW w:w="1335" w:type="dxa"/>
          </w:tcPr>
          <w:p w14:paraId="1CA32FA3" w14:textId="77777777" w:rsidR="005A7F14" w:rsidRDefault="005A7F14">
            <w:pPr>
              <w:pStyle w:val="TableParagraph"/>
              <w:rPr>
                <w:rFonts w:ascii="Times New Roman"/>
                <w:sz w:val="20"/>
              </w:rPr>
            </w:pPr>
          </w:p>
        </w:tc>
      </w:tr>
      <w:tr w:rsidR="005A7F14" w14:paraId="2969A018" w14:textId="77777777">
        <w:trPr>
          <w:trHeight w:val="364"/>
        </w:trPr>
        <w:tc>
          <w:tcPr>
            <w:tcW w:w="756" w:type="dxa"/>
          </w:tcPr>
          <w:p w14:paraId="0090267A" w14:textId="77777777" w:rsidR="005A7F14" w:rsidRDefault="0031751E">
            <w:pPr>
              <w:pStyle w:val="TableParagraph"/>
              <w:spacing w:before="1"/>
              <w:ind w:right="266"/>
              <w:jc w:val="right"/>
              <w:rPr>
                <w:sz w:val="20"/>
              </w:rPr>
            </w:pPr>
            <w:r>
              <w:rPr>
                <w:w w:val="95"/>
                <w:sz w:val="20"/>
              </w:rPr>
              <w:t>64</w:t>
            </w:r>
          </w:p>
        </w:tc>
        <w:tc>
          <w:tcPr>
            <w:tcW w:w="1877" w:type="dxa"/>
          </w:tcPr>
          <w:p w14:paraId="3520D230" w14:textId="77777777" w:rsidR="005A7F14" w:rsidRDefault="0031751E">
            <w:pPr>
              <w:pStyle w:val="TableParagraph"/>
              <w:spacing w:before="1"/>
              <w:ind w:left="107"/>
              <w:rPr>
                <w:sz w:val="20"/>
              </w:rPr>
            </w:pPr>
            <w:r>
              <w:rPr>
                <w:sz w:val="20"/>
              </w:rPr>
              <w:t>Karajarri</w:t>
            </w:r>
          </w:p>
        </w:tc>
        <w:tc>
          <w:tcPr>
            <w:tcW w:w="1164" w:type="dxa"/>
          </w:tcPr>
          <w:p w14:paraId="472C5A4C" w14:textId="77777777" w:rsidR="005A7F14" w:rsidRDefault="0031751E">
            <w:pPr>
              <w:pStyle w:val="TableParagraph"/>
              <w:spacing w:before="1"/>
              <w:ind w:left="105" w:right="98"/>
              <w:jc w:val="center"/>
              <w:rPr>
                <w:sz w:val="20"/>
              </w:rPr>
            </w:pPr>
            <w:r>
              <w:rPr>
                <w:sz w:val="20"/>
              </w:rPr>
              <w:t>WA</w:t>
            </w:r>
          </w:p>
        </w:tc>
        <w:tc>
          <w:tcPr>
            <w:tcW w:w="1179" w:type="dxa"/>
          </w:tcPr>
          <w:p w14:paraId="0B90F94E" w14:textId="77777777" w:rsidR="005A7F14" w:rsidRDefault="005A7F14">
            <w:pPr>
              <w:pStyle w:val="TableParagraph"/>
              <w:rPr>
                <w:rFonts w:ascii="Times New Roman"/>
                <w:sz w:val="20"/>
              </w:rPr>
            </w:pPr>
          </w:p>
        </w:tc>
        <w:tc>
          <w:tcPr>
            <w:tcW w:w="835" w:type="dxa"/>
          </w:tcPr>
          <w:p w14:paraId="53B8DF7B" w14:textId="77777777" w:rsidR="005A7F14" w:rsidRDefault="005A7F14">
            <w:pPr>
              <w:pStyle w:val="TableParagraph"/>
              <w:rPr>
                <w:rFonts w:ascii="Times New Roman"/>
                <w:sz w:val="20"/>
              </w:rPr>
            </w:pPr>
          </w:p>
        </w:tc>
        <w:tc>
          <w:tcPr>
            <w:tcW w:w="1164" w:type="dxa"/>
          </w:tcPr>
          <w:p w14:paraId="766249B9" w14:textId="77777777" w:rsidR="005A7F14" w:rsidRDefault="005A7F14">
            <w:pPr>
              <w:pStyle w:val="TableParagraph"/>
              <w:rPr>
                <w:rFonts w:ascii="Times New Roman"/>
                <w:sz w:val="20"/>
              </w:rPr>
            </w:pPr>
          </w:p>
        </w:tc>
        <w:tc>
          <w:tcPr>
            <w:tcW w:w="901" w:type="dxa"/>
            <w:shd w:val="clear" w:color="auto" w:fill="E7FFBD"/>
          </w:tcPr>
          <w:p w14:paraId="33B32875" w14:textId="77777777" w:rsidR="005A7F14" w:rsidRDefault="0031751E">
            <w:pPr>
              <w:pStyle w:val="TableParagraph"/>
              <w:spacing w:before="1"/>
              <w:ind w:left="10"/>
              <w:jc w:val="center"/>
              <w:rPr>
                <w:sz w:val="20"/>
              </w:rPr>
            </w:pPr>
            <w:r>
              <w:rPr>
                <w:w w:val="99"/>
                <w:sz w:val="20"/>
              </w:rPr>
              <w:t>Y</w:t>
            </w:r>
          </w:p>
        </w:tc>
        <w:tc>
          <w:tcPr>
            <w:tcW w:w="1335" w:type="dxa"/>
          </w:tcPr>
          <w:p w14:paraId="7B23D9DB" w14:textId="77777777" w:rsidR="005A7F14" w:rsidRDefault="005A7F14">
            <w:pPr>
              <w:pStyle w:val="TableParagraph"/>
              <w:rPr>
                <w:rFonts w:ascii="Times New Roman"/>
                <w:sz w:val="20"/>
              </w:rPr>
            </w:pPr>
          </w:p>
        </w:tc>
      </w:tr>
      <w:tr w:rsidR="005A7F14" w14:paraId="02A93F2E" w14:textId="77777777">
        <w:trPr>
          <w:trHeight w:val="361"/>
        </w:trPr>
        <w:tc>
          <w:tcPr>
            <w:tcW w:w="756" w:type="dxa"/>
          </w:tcPr>
          <w:p w14:paraId="542F842C" w14:textId="77777777" w:rsidR="005A7F14" w:rsidRDefault="0031751E">
            <w:pPr>
              <w:pStyle w:val="TableParagraph"/>
              <w:spacing w:before="1"/>
              <w:ind w:right="266"/>
              <w:jc w:val="right"/>
              <w:rPr>
                <w:sz w:val="20"/>
              </w:rPr>
            </w:pPr>
            <w:r>
              <w:rPr>
                <w:w w:val="95"/>
                <w:sz w:val="20"/>
              </w:rPr>
              <w:t>65</w:t>
            </w:r>
          </w:p>
        </w:tc>
        <w:tc>
          <w:tcPr>
            <w:tcW w:w="1877" w:type="dxa"/>
          </w:tcPr>
          <w:p w14:paraId="3DEE6274" w14:textId="77777777" w:rsidR="005A7F14" w:rsidRDefault="0031751E">
            <w:pPr>
              <w:pStyle w:val="TableParagraph"/>
              <w:spacing w:before="1"/>
              <w:ind w:left="107"/>
              <w:rPr>
                <w:sz w:val="20"/>
              </w:rPr>
            </w:pPr>
            <w:proofErr w:type="spellStart"/>
            <w:r>
              <w:rPr>
                <w:sz w:val="20"/>
              </w:rPr>
              <w:t>Nijinda</w:t>
            </w:r>
            <w:proofErr w:type="spellEnd"/>
            <w:r>
              <w:rPr>
                <w:sz w:val="20"/>
              </w:rPr>
              <w:t xml:space="preserve"> </w:t>
            </w:r>
            <w:proofErr w:type="spellStart"/>
            <w:r>
              <w:rPr>
                <w:sz w:val="20"/>
              </w:rPr>
              <w:t>Durlga</w:t>
            </w:r>
            <w:proofErr w:type="spellEnd"/>
          </w:p>
        </w:tc>
        <w:tc>
          <w:tcPr>
            <w:tcW w:w="1164" w:type="dxa"/>
          </w:tcPr>
          <w:p w14:paraId="7D43C724" w14:textId="77777777" w:rsidR="005A7F14" w:rsidRDefault="0031751E">
            <w:pPr>
              <w:pStyle w:val="TableParagraph"/>
              <w:spacing w:before="1"/>
              <w:ind w:left="106" w:right="98"/>
              <w:jc w:val="center"/>
              <w:rPr>
                <w:sz w:val="20"/>
              </w:rPr>
            </w:pPr>
            <w:r>
              <w:rPr>
                <w:sz w:val="20"/>
              </w:rPr>
              <w:t>QLD</w:t>
            </w:r>
          </w:p>
        </w:tc>
        <w:tc>
          <w:tcPr>
            <w:tcW w:w="1179" w:type="dxa"/>
          </w:tcPr>
          <w:p w14:paraId="2C3BA977" w14:textId="77777777" w:rsidR="005A7F14" w:rsidRDefault="005A7F14">
            <w:pPr>
              <w:pStyle w:val="TableParagraph"/>
              <w:rPr>
                <w:rFonts w:ascii="Times New Roman"/>
                <w:sz w:val="20"/>
              </w:rPr>
            </w:pPr>
          </w:p>
        </w:tc>
        <w:tc>
          <w:tcPr>
            <w:tcW w:w="835" w:type="dxa"/>
            <w:shd w:val="clear" w:color="auto" w:fill="EEC6DC"/>
          </w:tcPr>
          <w:p w14:paraId="07E0F79A" w14:textId="77777777" w:rsidR="005A7F14" w:rsidRDefault="0031751E">
            <w:pPr>
              <w:pStyle w:val="TableParagraph"/>
              <w:spacing w:before="1"/>
              <w:ind w:left="7"/>
              <w:jc w:val="center"/>
              <w:rPr>
                <w:sz w:val="20"/>
              </w:rPr>
            </w:pPr>
            <w:r>
              <w:rPr>
                <w:w w:val="99"/>
                <w:sz w:val="20"/>
              </w:rPr>
              <w:t>Y</w:t>
            </w:r>
          </w:p>
        </w:tc>
        <w:tc>
          <w:tcPr>
            <w:tcW w:w="1164" w:type="dxa"/>
          </w:tcPr>
          <w:p w14:paraId="5C87795A" w14:textId="77777777" w:rsidR="005A7F14" w:rsidRDefault="005A7F14">
            <w:pPr>
              <w:pStyle w:val="TableParagraph"/>
              <w:rPr>
                <w:rFonts w:ascii="Times New Roman"/>
                <w:sz w:val="20"/>
              </w:rPr>
            </w:pPr>
          </w:p>
        </w:tc>
        <w:tc>
          <w:tcPr>
            <w:tcW w:w="901" w:type="dxa"/>
          </w:tcPr>
          <w:p w14:paraId="54476A8E" w14:textId="77777777" w:rsidR="005A7F14" w:rsidRDefault="005A7F14">
            <w:pPr>
              <w:pStyle w:val="TableParagraph"/>
              <w:rPr>
                <w:rFonts w:ascii="Times New Roman"/>
                <w:sz w:val="20"/>
              </w:rPr>
            </w:pPr>
          </w:p>
        </w:tc>
        <w:tc>
          <w:tcPr>
            <w:tcW w:w="1335" w:type="dxa"/>
          </w:tcPr>
          <w:p w14:paraId="52CFA2E6" w14:textId="77777777" w:rsidR="005A7F14" w:rsidRDefault="005A7F14">
            <w:pPr>
              <w:pStyle w:val="TableParagraph"/>
              <w:rPr>
                <w:rFonts w:ascii="Times New Roman"/>
                <w:sz w:val="20"/>
              </w:rPr>
            </w:pPr>
          </w:p>
        </w:tc>
      </w:tr>
      <w:tr w:rsidR="005A7F14" w14:paraId="746278A7" w14:textId="77777777">
        <w:trPr>
          <w:trHeight w:val="366"/>
        </w:trPr>
        <w:tc>
          <w:tcPr>
            <w:tcW w:w="756" w:type="dxa"/>
          </w:tcPr>
          <w:p w14:paraId="31E97139" w14:textId="77777777" w:rsidR="005A7F14" w:rsidRDefault="0031751E">
            <w:pPr>
              <w:pStyle w:val="TableParagraph"/>
              <w:spacing w:before="3"/>
              <w:ind w:right="266"/>
              <w:jc w:val="right"/>
              <w:rPr>
                <w:sz w:val="20"/>
              </w:rPr>
            </w:pPr>
            <w:r>
              <w:rPr>
                <w:w w:val="95"/>
                <w:sz w:val="20"/>
              </w:rPr>
              <w:t>67</w:t>
            </w:r>
          </w:p>
        </w:tc>
        <w:tc>
          <w:tcPr>
            <w:tcW w:w="1877" w:type="dxa"/>
          </w:tcPr>
          <w:p w14:paraId="63A9634F" w14:textId="77777777" w:rsidR="005A7F14" w:rsidRDefault="0031751E">
            <w:pPr>
              <w:pStyle w:val="TableParagraph"/>
              <w:spacing w:before="3"/>
              <w:ind w:left="107"/>
              <w:rPr>
                <w:sz w:val="20"/>
              </w:rPr>
            </w:pPr>
            <w:proofErr w:type="spellStart"/>
            <w:r>
              <w:rPr>
                <w:sz w:val="20"/>
              </w:rPr>
              <w:t>Kiwirrkurra</w:t>
            </w:r>
            <w:proofErr w:type="spellEnd"/>
          </w:p>
        </w:tc>
        <w:tc>
          <w:tcPr>
            <w:tcW w:w="1164" w:type="dxa"/>
          </w:tcPr>
          <w:p w14:paraId="7453C91A" w14:textId="77777777" w:rsidR="005A7F14" w:rsidRDefault="0031751E">
            <w:pPr>
              <w:pStyle w:val="TableParagraph"/>
              <w:spacing w:before="3"/>
              <w:ind w:left="105" w:right="98"/>
              <w:jc w:val="center"/>
              <w:rPr>
                <w:sz w:val="20"/>
              </w:rPr>
            </w:pPr>
            <w:r>
              <w:rPr>
                <w:sz w:val="20"/>
              </w:rPr>
              <w:t>WA</w:t>
            </w:r>
          </w:p>
        </w:tc>
        <w:tc>
          <w:tcPr>
            <w:tcW w:w="1179" w:type="dxa"/>
          </w:tcPr>
          <w:p w14:paraId="4D56F0DE" w14:textId="77777777" w:rsidR="005A7F14" w:rsidRDefault="005A7F14">
            <w:pPr>
              <w:pStyle w:val="TableParagraph"/>
              <w:rPr>
                <w:rFonts w:ascii="Times New Roman"/>
                <w:sz w:val="20"/>
              </w:rPr>
            </w:pPr>
          </w:p>
        </w:tc>
        <w:tc>
          <w:tcPr>
            <w:tcW w:w="835" w:type="dxa"/>
            <w:shd w:val="clear" w:color="auto" w:fill="EEC6DC"/>
          </w:tcPr>
          <w:p w14:paraId="1B634965" w14:textId="77777777" w:rsidR="005A7F14" w:rsidRDefault="0031751E">
            <w:pPr>
              <w:pStyle w:val="TableParagraph"/>
              <w:spacing w:before="3"/>
              <w:ind w:left="7"/>
              <w:jc w:val="center"/>
              <w:rPr>
                <w:sz w:val="20"/>
              </w:rPr>
            </w:pPr>
            <w:r>
              <w:rPr>
                <w:w w:val="99"/>
                <w:sz w:val="20"/>
              </w:rPr>
              <w:t>Y</w:t>
            </w:r>
          </w:p>
        </w:tc>
        <w:tc>
          <w:tcPr>
            <w:tcW w:w="1164" w:type="dxa"/>
          </w:tcPr>
          <w:p w14:paraId="4B036BE0" w14:textId="77777777" w:rsidR="005A7F14" w:rsidRDefault="005A7F14">
            <w:pPr>
              <w:pStyle w:val="TableParagraph"/>
              <w:rPr>
                <w:rFonts w:ascii="Times New Roman"/>
                <w:sz w:val="20"/>
              </w:rPr>
            </w:pPr>
          </w:p>
        </w:tc>
        <w:tc>
          <w:tcPr>
            <w:tcW w:w="901" w:type="dxa"/>
          </w:tcPr>
          <w:p w14:paraId="5D4E5574" w14:textId="77777777" w:rsidR="005A7F14" w:rsidRDefault="005A7F14">
            <w:pPr>
              <w:pStyle w:val="TableParagraph"/>
              <w:rPr>
                <w:rFonts w:ascii="Times New Roman"/>
                <w:sz w:val="20"/>
              </w:rPr>
            </w:pPr>
          </w:p>
        </w:tc>
        <w:tc>
          <w:tcPr>
            <w:tcW w:w="1335" w:type="dxa"/>
          </w:tcPr>
          <w:p w14:paraId="21311E41" w14:textId="77777777" w:rsidR="005A7F14" w:rsidRDefault="005A7F14">
            <w:pPr>
              <w:pStyle w:val="TableParagraph"/>
              <w:rPr>
                <w:rFonts w:ascii="Times New Roman"/>
                <w:sz w:val="20"/>
              </w:rPr>
            </w:pPr>
          </w:p>
        </w:tc>
      </w:tr>
    </w:tbl>
    <w:p w14:paraId="00BBA518" w14:textId="77777777" w:rsidR="005A7F14" w:rsidRDefault="005A7F14">
      <w:pPr>
        <w:rPr>
          <w:rFonts w:ascii="Times New Roman"/>
          <w:sz w:val="20"/>
        </w:rPr>
        <w:sectPr w:rsidR="005A7F14">
          <w:pgSz w:w="11910" w:h="16840"/>
          <w:pgMar w:top="1360" w:right="1000" w:bottom="940" w:left="1420" w:header="0" w:footer="747" w:gutter="0"/>
          <w:cols w:space="720"/>
        </w:sect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756"/>
        <w:gridCol w:w="1877"/>
        <w:gridCol w:w="1164"/>
        <w:gridCol w:w="1179"/>
        <w:gridCol w:w="835"/>
        <w:gridCol w:w="1164"/>
        <w:gridCol w:w="901"/>
        <w:gridCol w:w="1335"/>
      </w:tblGrid>
      <w:tr w:rsidR="005A7F14" w14:paraId="1842FC01" w14:textId="77777777">
        <w:trPr>
          <w:trHeight w:val="484"/>
        </w:trPr>
        <w:tc>
          <w:tcPr>
            <w:tcW w:w="3797" w:type="dxa"/>
            <w:gridSpan w:val="3"/>
            <w:shd w:val="clear" w:color="auto" w:fill="D9D9D9"/>
          </w:tcPr>
          <w:p w14:paraId="39B9381A" w14:textId="77777777" w:rsidR="005A7F14" w:rsidRPr="00E56D12" w:rsidRDefault="0031751E">
            <w:pPr>
              <w:pStyle w:val="TableParagraph"/>
              <w:spacing w:before="121"/>
              <w:ind w:left="623"/>
              <w:rPr>
                <w:b/>
                <w:bCs/>
                <w:sz w:val="20"/>
              </w:rPr>
            </w:pPr>
            <w:r w:rsidRPr="00E56D12">
              <w:rPr>
                <w:b/>
                <w:bCs/>
                <w:sz w:val="20"/>
              </w:rPr>
              <w:lastRenderedPageBreak/>
              <w:t>IPAs by number and jurisdiction</w:t>
            </w:r>
          </w:p>
        </w:tc>
        <w:tc>
          <w:tcPr>
            <w:tcW w:w="1179" w:type="dxa"/>
            <w:vMerge w:val="restart"/>
            <w:shd w:val="clear" w:color="auto" w:fill="F4C4FB"/>
          </w:tcPr>
          <w:p w14:paraId="11AA01A2" w14:textId="77777777" w:rsidR="005A7F14" w:rsidRPr="00E56D12" w:rsidRDefault="0031751E">
            <w:pPr>
              <w:pStyle w:val="TableParagraph"/>
              <w:spacing w:before="121"/>
              <w:ind w:left="108" w:right="106"/>
              <w:rPr>
                <w:b/>
                <w:bCs/>
                <w:sz w:val="20"/>
              </w:rPr>
            </w:pPr>
            <w:r w:rsidRPr="00E56D12">
              <w:rPr>
                <w:b/>
                <w:bCs/>
                <w:sz w:val="20"/>
              </w:rPr>
              <w:t>Indigenous specific research methods / approaches</w:t>
            </w:r>
          </w:p>
        </w:tc>
        <w:tc>
          <w:tcPr>
            <w:tcW w:w="4235" w:type="dxa"/>
            <w:gridSpan w:val="4"/>
            <w:shd w:val="clear" w:color="auto" w:fill="D9D9D9"/>
          </w:tcPr>
          <w:p w14:paraId="420D6E08" w14:textId="77777777" w:rsidR="005A7F14" w:rsidRPr="00E56D12" w:rsidRDefault="0031751E">
            <w:pPr>
              <w:pStyle w:val="TableParagraph"/>
              <w:spacing w:before="121"/>
              <w:ind w:left="285"/>
              <w:rPr>
                <w:b/>
                <w:bCs/>
                <w:sz w:val="20"/>
              </w:rPr>
            </w:pPr>
            <w:r w:rsidRPr="00E56D12">
              <w:rPr>
                <w:b/>
                <w:bCs/>
                <w:sz w:val="20"/>
              </w:rPr>
              <w:t>NESP2 Hubs and Indigenous specific priorities</w:t>
            </w:r>
          </w:p>
        </w:tc>
      </w:tr>
      <w:tr w:rsidR="005A7F14" w14:paraId="7035B814" w14:textId="77777777">
        <w:trPr>
          <w:trHeight w:val="1461"/>
        </w:trPr>
        <w:tc>
          <w:tcPr>
            <w:tcW w:w="756" w:type="dxa"/>
          </w:tcPr>
          <w:p w14:paraId="5CCA76B2" w14:textId="77777777" w:rsidR="005A7F14" w:rsidRPr="00E56D12" w:rsidRDefault="005A7F14">
            <w:pPr>
              <w:pStyle w:val="TableParagraph"/>
              <w:rPr>
                <w:b/>
                <w:bCs/>
                <w:sz w:val="20"/>
              </w:rPr>
            </w:pPr>
          </w:p>
          <w:p w14:paraId="5E387DAD" w14:textId="77777777" w:rsidR="005A7F14" w:rsidRPr="00E56D12" w:rsidRDefault="005A7F14">
            <w:pPr>
              <w:pStyle w:val="TableParagraph"/>
              <w:spacing w:before="10"/>
              <w:rPr>
                <w:b/>
                <w:bCs/>
                <w:sz w:val="19"/>
              </w:rPr>
            </w:pPr>
          </w:p>
          <w:p w14:paraId="383A4F15" w14:textId="77777777" w:rsidR="005A7F14" w:rsidRPr="00E56D12" w:rsidRDefault="0031751E">
            <w:pPr>
              <w:pStyle w:val="TableParagraph"/>
              <w:ind w:left="244"/>
              <w:rPr>
                <w:b/>
                <w:bCs/>
                <w:sz w:val="20"/>
              </w:rPr>
            </w:pPr>
            <w:r w:rsidRPr="00E56D12">
              <w:rPr>
                <w:b/>
                <w:bCs/>
                <w:sz w:val="20"/>
              </w:rPr>
              <w:t>IPA</w:t>
            </w:r>
          </w:p>
          <w:p w14:paraId="2FF8AE6C" w14:textId="77777777" w:rsidR="005A7F14" w:rsidRPr="00E56D12" w:rsidRDefault="0031751E">
            <w:pPr>
              <w:pStyle w:val="TableParagraph"/>
              <w:ind w:left="237"/>
              <w:rPr>
                <w:b/>
                <w:bCs/>
                <w:sz w:val="20"/>
              </w:rPr>
            </w:pPr>
            <w:r w:rsidRPr="00E56D12">
              <w:rPr>
                <w:b/>
                <w:bCs/>
                <w:sz w:val="20"/>
              </w:rPr>
              <w:t>No.</w:t>
            </w:r>
          </w:p>
        </w:tc>
        <w:tc>
          <w:tcPr>
            <w:tcW w:w="1877" w:type="dxa"/>
          </w:tcPr>
          <w:p w14:paraId="72483E3F" w14:textId="77777777" w:rsidR="005A7F14" w:rsidRPr="00E56D12" w:rsidRDefault="005A7F14">
            <w:pPr>
              <w:pStyle w:val="TableParagraph"/>
              <w:rPr>
                <w:b/>
                <w:bCs/>
                <w:sz w:val="20"/>
              </w:rPr>
            </w:pPr>
          </w:p>
          <w:p w14:paraId="5888EEFF" w14:textId="77777777" w:rsidR="005A7F14" w:rsidRPr="00E56D12" w:rsidRDefault="005A7F14">
            <w:pPr>
              <w:pStyle w:val="TableParagraph"/>
              <w:spacing w:before="10"/>
              <w:rPr>
                <w:b/>
                <w:bCs/>
                <w:sz w:val="29"/>
              </w:rPr>
            </w:pPr>
          </w:p>
          <w:p w14:paraId="18458D12" w14:textId="77777777" w:rsidR="005A7F14" w:rsidRPr="00E56D12" w:rsidRDefault="0031751E">
            <w:pPr>
              <w:pStyle w:val="TableParagraph"/>
              <w:ind w:left="544"/>
              <w:rPr>
                <w:b/>
                <w:bCs/>
                <w:sz w:val="20"/>
              </w:rPr>
            </w:pPr>
            <w:r w:rsidRPr="00E56D12">
              <w:rPr>
                <w:b/>
                <w:bCs/>
                <w:sz w:val="20"/>
              </w:rPr>
              <w:t>IPA Name</w:t>
            </w:r>
          </w:p>
        </w:tc>
        <w:tc>
          <w:tcPr>
            <w:tcW w:w="1164" w:type="dxa"/>
          </w:tcPr>
          <w:p w14:paraId="3F41BC9D" w14:textId="77777777" w:rsidR="005A7F14" w:rsidRPr="00E56D12" w:rsidRDefault="005A7F14">
            <w:pPr>
              <w:pStyle w:val="TableParagraph"/>
              <w:rPr>
                <w:b/>
                <w:bCs/>
                <w:sz w:val="20"/>
              </w:rPr>
            </w:pPr>
          </w:p>
          <w:p w14:paraId="57ED9B0A" w14:textId="77777777" w:rsidR="005A7F14" w:rsidRPr="00E56D12" w:rsidRDefault="005A7F14">
            <w:pPr>
              <w:pStyle w:val="TableParagraph"/>
              <w:spacing w:before="10"/>
              <w:rPr>
                <w:b/>
                <w:bCs/>
                <w:sz w:val="29"/>
              </w:rPr>
            </w:pPr>
          </w:p>
          <w:p w14:paraId="5161BDD3" w14:textId="77777777" w:rsidR="005A7F14" w:rsidRPr="00E56D12" w:rsidRDefault="0031751E">
            <w:pPr>
              <w:pStyle w:val="TableParagraph"/>
              <w:ind w:left="108" w:right="98"/>
              <w:jc w:val="center"/>
              <w:rPr>
                <w:b/>
                <w:bCs/>
                <w:sz w:val="20"/>
              </w:rPr>
            </w:pPr>
            <w:r w:rsidRPr="00E56D12">
              <w:rPr>
                <w:b/>
                <w:bCs/>
                <w:sz w:val="20"/>
              </w:rPr>
              <w:t>Jurisdiction</w:t>
            </w:r>
          </w:p>
        </w:tc>
        <w:tc>
          <w:tcPr>
            <w:tcW w:w="1179" w:type="dxa"/>
            <w:vMerge/>
            <w:tcBorders>
              <w:top w:val="nil"/>
            </w:tcBorders>
            <w:shd w:val="clear" w:color="auto" w:fill="F4C4FB"/>
          </w:tcPr>
          <w:p w14:paraId="2DBC36C6" w14:textId="77777777" w:rsidR="005A7F14" w:rsidRPr="00E56D12" w:rsidRDefault="005A7F14">
            <w:pPr>
              <w:rPr>
                <w:b/>
                <w:bCs/>
                <w:sz w:val="2"/>
                <w:szCs w:val="2"/>
              </w:rPr>
            </w:pPr>
          </w:p>
        </w:tc>
        <w:tc>
          <w:tcPr>
            <w:tcW w:w="835" w:type="dxa"/>
            <w:shd w:val="clear" w:color="auto" w:fill="EEC6DC"/>
          </w:tcPr>
          <w:p w14:paraId="288E0BB8" w14:textId="77777777" w:rsidR="005A7F14" w:rsidRPr="00E56D12" w:rsidRDefault="0031751E">
            <w:pPr>
              <w:pStyle w:val="TableParagraph"/>
              <w:spacing w:before="121"/>
              <w:ind w:left="107" w:right="111"/>
              <w:rPr>
                <w:b/>
                <w:bCs/>
                <w:sz w:val="20"/>
              </w:rPr>
            </w:pPr>
            <w:r w:rsidRPr="00E56D12">
              <w:rPr>
                <w:b/>
                <w:bCs/>
                <w:sz w:val="20"/>
              </w:rPr>
              <w:t>Marine &amp; Coastal Hub</w:t>
            </w:r>
          </w:p>
        </w:tc>
        <w:tc>
          <w:tcPr>
            <w:tcW w:w="1164" w:type="dxa"/>
            <w:shd w:val="clear" w:color="auto" w:fill="BED5FF"/>
          </w:tcPr>
          <w:p w14:paraId="6C6457C0" w14:textId="77777777" w:rsidR="005A7F14" w:rsidRPr="00E56D12" w:rsidRDefault="0031751E">
            <w:pPr>
              <w:pStyle w:val="TableParagraph"/>
              <w:spacing w:before="121"/>
              <w:ind w:left="105" w:right="106"/>
              <w:rPr>
                <w:b/>
                <w:bCs/>
                <w:sz w:val="20"/>
              </w:rPr>
            </w:pPr>
            <w:r w:rsidRPr="00E56D12">
              <w:rPr>
                <w:b/>
                <w:bCs/>
                <w:sz w:val="20"/>
              </w:rPr>
              <w:t>Resilient Landscapes Hub</w:t>
            </w:r>
          </w:p>
        </w:tc>
        <w:tc>
          <w:tcPr>
            <w:tcW w:w="901" w:type="dxa"/>
            <w:shd w:val="clear" w:color="auto" w:fill="E7FFBD"/>
          </w:tcPr>
          <w:p w14:paraId="60874CA5" w14:textId="77777777" w:rsidR="005A7F14" w:rsidRPr="00E56D12" w:rsidRDefault="0031751E">
            <w:pPr>
              <w:pStyle w:val="TableParagraph"/>
              <w:spacing w:before="121"/>
              <w:ind w:left="108" w:right="123"/>
              <w:jc w:val="both"/>
              <w:rPr>
                <w:b/>
                <w:bCs/>
                <w:sz w:val="20"/>
              </w:rPr>
            </w:pPr>
            <w:r w:rsidRPr="00E56D12">
              <w:rPr>
                <w:b/>
                <w:bCs/>
                <w:sz w:val="20"/>
              </w:rPr>
              <w:t>Climate Systems Hub</w:t>
            </w:r>
          </w:p>
        </w:tc>
        <w:tc>
          <w:tcPr>
            <w:tcW w:w="1335" w:type="dxa"/>
            <w:shd w:val="clear" w:color="auto" w:fill="FF4E87"/>
          </w:tcPr>
          <w:p w14:paraId="4194455C" w14:textId="77777777" w:rsidR="005A7F14" w:rsidRPr="00E56D12" w:rsidRDefault="0031751E">
            <w:pPr>
              <w:pStyle w:val="TableParagraph"/>
              <w:spacing w:before="121"/>
              <w:ind w:left="107" w:right="117"/>
              <w:rPr>
                <w:b/>
                <w:bCs/>
                <w:sz w:val="20"/>
              </w:rPr>
            </w:pPr>
            <w:r w:rsidRPr="00E56D12">
              <w:rPr>
                <w:b/>
                <w:bCs/>
                <w:sz w:val="20"/>
              </w:rPr>
              <w:t>Sustainable Communities and Waste Management Hub</w:t>
            </w:r>
          </w:p>
        </w:tc>
      </w:tr>
      <w:tr w:rsidR="005A7F14" w14:paraId="27598A90" w14:textId="77777777">
        <w:trPr>
          <w:trHeight w:val="606"/>
        </w:trPr>
        <w:tc>
          <w:tcPr>
            <w:tcW w:w="756" w:type="dxa"/>
          </w:tcPr>
          <w:p w14:paraId="57E3D96A" w14:textId="77777777" w:rsidR="005A7F14" w:rsidRDefault="0031751E">
            <w:pPr>
              <w:pStyle w:val="TableParagraph"/>
              <w:spacing w:before="123"/>
              <w:ind w:left="95" w:right="88"/>
              <w:jc w:val="center"/>
              <w:rPr>
                <w:sz w:val="20"/>
              </w:rPr>
            </w:pPr>
            <w:r>
              <w:rPr>
                <w:sz w:val="20"/>
              </w:rPr>
              <w:t>68</w:t>
            </w:r>
          </w:p>
        </w:tc>
        <w:tc>
          <w:tcPr>
            <w:tcW w:w="1877" w:type="dxa"/>
          </w:tcPr>
          <w:p w14:paraId="5B18A4FA" w14:textId="77777777" w:rsidR="005A7F14" w:rsidRDefault="0031751E">
            <w:pPr>
              <w:pStyle w:val="TableParagraph"/>
              <w:ind w:left="107" w:right="367"/>
              <w:rPr>
                <w:sz w:val="20"/>
              </w:rPr>
            </w:pPr>
            <w:proofErr w:type="spellStart"/>
            <w:r>
              <w:rPr>
                <w:w w:val="95"/>
                <w:sz w:val="20"/>
              </w:rPr>
              <w:t>Nyangumarta</w:t>
            </w:r>
            <w:proofErr w:type="spellEnd"/>
            <w:r>
              <w:rPr>
                <w:w w:val="95"/>
                <w:sz w:val="20"/>
              </w:rPr>
              <w:t xml:space="preserve"> </w:t>
            </w:r>
            <w:proofErr w:type="spellStart"/>
            <w:r>
              <w:rPr>
                <w:sz w:val="20"/>
              </w:rPr>
              <w:t>Warrarn</w:t>
            </w:r>
            <w:proofErr w:type="spellEnd"/>
          </w:p>
        </w:tc>
        <w:tc>
          <w:tcPr>
            <w:tcW w:w="1164" w:type="dxa"/>
          </w:tcPr>
          <w:p w14:paraId="5B7DF31F" w14:textId="77777777" w:rsidR="005A7F14" w:rsidRDefault="0031751E">
            <w:pPr>
              <w:pStyle w:val="TableParagraph"/>
              <w:spacing w:before="123"/>
              <w:ind w:left="105" w:right="98"/>
              <w:jc w:val="center"/>
              <w:rPr>
                <w:sz w:val="20"/>
              </w:rPr>
            </w:pPr>
            <w:r>
              <w:rPr>
                <w:sz w:val="20"/>
              </w:rPr>
              <w:t>WA</w:t>
            </w:r>
          </w:p>
        </w:tc>
        <w:tc>
          <w:tcPr>
            <w:tcW w:w="1179" w:type="dxa"/>
          </w:tcPr>
          <w:p w14:paraId="09E4C01C" w14:textId="77777777" w:rsidR="005A7F14" w:rsidRDefault="005A7F14">
            <w:pPr>
              <w:pStyle w:val="TableParagraph"/>
              <w:rPr>
                <w:rFonts w:ascii="Times New Roman"/>
                <w:sz w:val="20"/>
              </w:rPr>
            </w:pPr>
          </w:p>
        </w:tc>
        <w:tc>
          <w:tcPr>
            <w:tcW w:w="835" w:type="dxa"/>
            <w:shd w:val="clear" w:color="auto" w:fill="EEC6DC"/>
          </w:tcPr>
          <w:p w14:paraId="27AAAF77" w14:textId="77777777" w:rsidR="005A7F14" w:rsidRDefault="0031751E">
            <w:pPr>
              <w:pStyle w:val="TableParagraph"/>
              <w:spacing w:before="123"/>
              <w:ind w:left="7"/>
              <w:jc w:val="center"/>
              <w:rPr>
                <w:sz w:val="20"/>
              </w:rPr>
            </w:pPr>
            <w:r>
              <w:rPr>
                <w:w w:val="99"/>
                <w:sz w:val="20"/>
              </w:rPr>
              <w:t>Y</w:t>
            </w:r>
          </w:p>
        </w:tc>
        <w:tc>
          <w:tcPr>
            <w:tcW w:w="1164" w:type="dxa"/>
          </w:tcPr>
          <w:p w14:paraId="5A1A3209" w14:textId="77777777" w:rsidR="005A7F14" w:rsidRDefault="005A7F14">
            <w:pPr>
              <w:pStyle w:val="TableParagraph"/>
              <w:rPr>
                <w:rFonts w:ascii="Times New Roman"/>
                <w:sz w:val="20"/>
              </w:rPr>
            </w:pPr>
          </w:p>
        </w:tc>
        <w:tc>
          <w:tcPr>
            <w:tcW w:w="901" w:type="dxa"/>
          </w:tcPr>
          <w:p w14:paraId="39FE59E3" w14:textId="77777777" w:rsidR="005A7F14" w:rsidRDefault="005A7F14">
            <w:pPr>
              <w:pStyle w:val="TableParagraph"/>
              <w:rPr>
                <w:rFonts w:ascii="Times New Roman"/>
                <w:sz w:val="20"/>
              </w:rPr>
            </w:pPr>
          </w:p>
        </w:tc>
        <w:tc>
          <w:tcPr>
            <w:tcW w:w="1335" w:type="dxa"/>
          </w:tcPr>
          <w:p w14:paraId="6DCB3267" w14:textId="77777777" w:rsidR="005A7F14" w:rsidRDefault="005A7F14">
            <w:pPr>
              <w:pStyle w:val="TableParagraph"/>
              <w:rPr>
                <w:rFonts w:ascii="Times New Roman"/>
                <w:sz w:val="20"/>
              </w:rPr>
            </w:pPr>
          </w:p>
        </w:tc>
      </w:tr>
      <w:tr w:rsidR="005A7F14" w14:paraId="594FFF59" w14:textId="77777777">
        <w:trPr>
          <w:trHeight w:val="609"/>
        </w:trPr>
        <w:tc>
          <w:tcPr>
            <w:tcW w:w="756" w:type="dxa"/>
          </w:tcPr>
          <w:p w14:paraId="31257494" w14:textId="77777777" w:rsidR="005A7F14" w:rsidRDefault="0031751E">
            <w:pPr>
              <w:pStyle w:val="TableParagraph"/>
              <w:spacing w:before="123"/>
              <w:ind w:left="95" w:right="88"/>
              <w:jc w:val="center"/>
              <w:rPr>
                <w:sz w:val="20"/>
              </w:rPr>
            </w:pPr>
            <w:r>
              <w:rPr>
                <w:sz w:val="20"/>
              </w:rPr>
              <w:t>69</w:t>
            </w:r>
          </w:p>
        </w:tc>
        <w:tc>
          <w:tcPr>
            <w:tcW w:w="1877" w:type="dxa"/>
          </w:tcPr>
          <w:p w14:paraId="04F62970" w14:textId="77777777" w:rsidR="005A7F14" w:rsidRDefault="0031751E">
            <w:pPr>
              <w:pStyle w:val="TableParagraph"/>
              <w:spacing w:before="1"/>
              <w:ind w:left="107" w:right="367"/>
              <w:rPr>
                <w:sz w:val="20"/>
              </w:rPr>
            </w:pPr>
            <w:proofErr w:type="spellStart"/>
            <w:r>
              <w:rPr>
                <w:sz w:val="20"/>
              </w:rPr>
              <w:t>Matuwa</w:t>
            </w:r>
            <w:proofErr w:type="spellEnd"/>
            <w:r>
              <w:rPr>
                <w:sz w:val="20"/>
              </w:rPr>
              <w:t xml:space="preserve"> </w:t>
            </w:r>
            <w:proofErr w:type="spellStart"/>
            <w:r>
              <w:rPr>
                <w:sz w:val="20"/>
              </w:rPr>
              <w:t>Kurrara</w:t>
            </w:r>
            <w:proofErr w:type="spellEnd"/>
            <w:r>
              <w:rPr>
                <w:sz w:val="20"/>
              </w:rPr>
              <w:t xml:space="preserve">- </w:t>
            </w:r>
            <w:proofErr w:type="spellStart"/>
            <w:r>
              <w:rPr>
                <w:sz w:val="20"/>
              </w:rPr>
              <w:t>Kurrara</w:t>
            </w:r>
            <w:proofErr w:type="spellEnd"/>
          </w:p>
        </w:tc>
        <w:tc>
          <w:tcPr>
            <w:tcW w:w="1164" w:type="dxa"/>
          </w:tcPr>
          <w:p w14:paraId="72A04EBA" w14:textId="77777777" w:rsidR="005A7F14" w:rsidRDefault="0031751E">
            <w:pPr>
              <w:pStyle w:val="TableParagraph"/>
              <w:spacing w:before="123"/>
              <w:ind w:left="108" w:right="98"/>
              <w:jc w:val="center"/>
              <w:rPr>
                <w:sz w:val="20"/>
              </w:rPr>
            </w:pPr>
            <w:r>
              <w:rPr>
                <w:sz w:val="20"/>
              </w:rPr>
              <w:t>NT</w:t>
            </w:r>
          </w:p>
        </w:tc>
        <w:tc>
          <w:tcPr>
            <w:tcW w:w="1179" w:type="dxa"/>
            <w:shd w:val="clear" w:color="auto" w:fill="F4C4FB"/>
          </w:tcPr>
          <w:p w14:paraId="0AF939BF" w14:textId="77777777" w:rsidR="005A7F14" w:rsidRDefault="0031751E">
            <w:pPr>
              <w:pStyle w:val="TableParagraph"/>
              <w:spacing w:before="123"/>
              <w:ind w:left="9"/>
              <w:jc w:val="center"/>
              <w:rPr>
                <w:sz w:val="20"/>
              </w:rPr>
            </w:pPr>
            <w:r>
              <w:rPr>
                <w:w w:val="99"/>
                <w:sz w:val="20"/>
              </w:rPr>
              <w:t>Y</w:t>
            </w:r>
          </w:p>
        </w:tc>
        <w:tc>
          <w:tcPr>
            <w:tcW w:w="835" w:type="dxa"/>
          </w:tcPr>
          <w:p w14:paraId="162917C0" w14:textId="77777777" w:rsidR="005A7F14" w:rsidRDefault="005A7F14">
            <w:pPr>
              <w:pStyle w:val="TableParagraph"/>
              <w:rPr>
                <w:rFonts w:ascii="Times New Roman"/>
                <w:sz w:val="20"/>
              </w:rPr>
            </w:pPr>
          </w:p>
        </w:tc>
        <w:tc>
          <w:tcPr>
            <w:tcW w:w="1164" w:type="dxa"/>
            <w:shd w:val="clear" w:color="auto" w:fill="BED5FF"/>
          </w:tcPr>
          <w:p w14:paraId="4180DF8A" w14:textId="77777777" w:rsidR="005A7F14" w:rsidRDefault="0031751E">
            <w:pPr>
              <w:pStyle w:val="TableParagraph"/>
              <w:spacing w:before="123"/>
              <w:ind w:left="532"/>
              <w:rPr>
                <w:sz w:val="20"/>
              </w:rPr>
            </w:pPr>
            <w:r>
              <w:rPr>
                <w:w w:val="99"/>
                <w:sz w:val="20"/>
              </w:rPr>
              <w:t>Y</w:t>
            </w:r>
          </w:p>
        </w:tc>
        <w:tc>
          <w:tcPr>
            <w:tcW w:w="901" w:type="dxa"/>
          </w:tcPr>
          <w:p w14:paraId="080C9338" w14:textId="77777777" w:rsidR="005A7F14" w:rsidRDefault="005A7F14">
            <w:pPr>
              <w:pStyle w:val="TableParagraph"/>
              <w:rPr>
                <w:rFonts w:ascii="Times New Roman"/>
                <w:sz w:val="20"/>
              </w:rPr>
            </w:pPr>
          </w:p>
        </w:tc>
        <w:tc>
          <w:tcPr>
            <w:tcW w:w="1335" w:type="dxa"/>
          </w:tcPr>
          <w:p w14:paraId="657875E7" w14:textId="77777777" w:rsidR="005A7F14" w:rsidRDefault="005A7F14">
            <w:pPr>
              <w:pStyle w:val="TableParagraph"/>
              <w:rPr>
                <w:rFonts w:ascii="Times New Roman"/>
                <w:sz w:val="20"/>
              </w:rPr>
            </w:pPr>
          </w:p>
        </w:tc>
      </w:tr>
      <w:tr w:rsidR="005A7F14" w14:paraId="64E3D92C" w14:textId="77777777">
        <w:trPr>
          <w:trHeight w:val="364"/>
        </w:trPr>
        <w:tc>
          <w:tcPr>
            <w:tcW w:w="756" w:type="dxa"/>
          </w:tcPr>
          <w:p w14:paraId="6D03F0C4" w14:textId="77777777" w:rsidR="005A7F14" w:rsidRDefault="0031751E">
            <w:pPr>
              <w:pStyle w:val="TableParagraph"/>
              <w:spacing w:before="1"/>
              <w:ind w:left="95" w:right="88"/>
              <w:jc w:val="center"/>
              <w:rPr>
                <w:sz w:val="20"/>
              </w:rPr>
            </w:pPr>
            <w:r>
              <w:rPr>
                <w:sz w:val="20"/>
              </w:rPr>
              <w:t>70</w:t>
            </w:r>
          </w:p>
        </w:tc>
        <w:tc>
          <w:tcPr>
            <w:tcW w:w="1877" w:type="dxa"/>
          </w:tcPr>
          <w:p w14:paraId="4B387D92" w14:textId="77777777" w:rsidR="005A7F14" w:rsidRDefault="0031751E">
            <w:pPr>
              <w:pStyle w:val="TableParagraph"/>
              <w:spacing w:before="1"/>
              <w:ind w:left="107"/>
              <w:rPr>
                <w:sz w:val="20"/>
              </w:rPr>
            </w:pPr>
            <w:proofErr w:type="spellStart"/>
            <w:r>
              <w:rPr>
                <w:sz w:val="20"/>
              </w:rPr>
              <w:t>Katiti</w:t>
            </w:r>
            <w:proofErr w:type="spellEnd"/>
            <w:r>
              <w:rPr>
                <w:sz w:val="20"/>
              </w:rPr>
              <w:t xml:space="preserve"> </w:t>
            </w:r>
            <w:proofErr w:type="spellStart"/>
            <w:r>
              <w:rPr>
                <w:sz w:val="20"/>
              </w:rPr>
              <w:t>Petermann</w:t>
            </w:r>
            <w:proofErr w:type="spellEnd"/>
          </w:p>
        </w:tc>
        <w:tc>
          <w:tcPr>
            <w:tcW w:w="1164" w:type="dxa"/>
          </w:tcPr>
          <w:p w14:paraId="5136394F" w14:textId="77777777" w:rsidR="005A7F14" w:rsidRDefault="0031751E">
            <w:pPr>
              <w:pStyle w:val="TableParagraph"/>
              <w:spacing w:before="1"/>
              <w:ind w:left="108" w:right="98"/>
              <w:jc w:val="center"/>
              <w:rPr>
                <w:sz w:val="20"/>
              </w:rPr>
            </w:pPr>
            <w:r>
              <w:rPr>
                <w:sz w:val="20"/>
              </w:rPr>
              <w:t>NT</w:t>
            </w:r>
          </w:p>
        </w:tc>
        <w:tc>
          <w:tcPr>
            <w:tcW w:w="1179" w:type="dxa"/>
          </w:tcPr>
          <w:p w14:paraId="28415B6D" w14:textId="77777777" w:rsidR="005A7F14" w:rsidRDefault="005A7F14">
            <w:pPr>
              <w:pStyle w:val="TableParagraph"/>
              <w:rPr>
                <w:rFonts w:ascii="Times New Roman"/>
                <w:sz w:val="20"/>
              </w:rPr>
            </w:pPr>
          </w:p>
        </w:tc>
        <w:tc>
          <w:tcPr>
            <w:tcW w:w="835" w:type="dxa"/>
          </w:tcPr>
          <w:p w14:paraId="6E5D2243" w14:textId="77777777" w:rsidR="005A7F14" w:rsidRDefault="005A7F14">
            <w:pPr>
              <w:pStyle w:val="TableParagraph"/>
              <w:rPr>
                <w:rFonts w:ascii="Times New Roman"/>
                <w:sz w:val="20"/>
              </w:rPr>
            </w:pPr>
          </w:p>
        </w:tc>
        <w:tc>
          <w:tcPr>
            <w:tcW w:w="1164" w:type="dxa"/>
            <w:shd w:val="clear" w:color="auto" w:fill="BED5FF"/>
          </w:tcPr>
          <w:p w14:paraId="05F850FD" w14:textId="77777777" w:rsidR="005A7F14" w:rsidRDefault="0031751E">
            <w:pPr>
              <w:pStyle w:val="TableParagraph"/>
              <w:spacing w:before="1"/>
              <w:ind w:left="532"/>
              <w:rPr>
                <w:sz w:val="20"/>
              </w:rPr>
            </w:pPr>
            <w:r>
              <w:rPr>
                <w:w w:val="99"/>
                <w:sz w:val="20"/>
              </w:rPr>
              <w:t>Y</w:t>
            </w:r>
          </w:p>
        </w:tc>
        <w:tc>
          <w:tcPr>
            <w:tcW w:w="901" w:type="dxa"/>
            <w:shd w:val="clear" w:color="auto" w:fill="E7FFBD"/>
          </w:tcPr>
          <w:p w14:paraId="2247BC13" w14:textId="77777777" w:rsidR="005A7F14" w:rsidRDefault="0031751E">
            <w:pPr>
              <w:pStyle w:val="TableParagraph"/>
              <w:spacing w:before="1"/>
              <w:ind w:left="10"/>
              <w:jc w:val="center"/>
              <w:rPr>
                <w:sz w:val="20"/>
              </w:rPr>
            </w:pPr>
            <w:r>
              <w:rPr>
                <w:w w:val="99"/>
                <w:sz w:val="20"/>
              </w:rPr>
              <w:t>Y</w:t>
            </w:r>
          </w:p>
        </w:tc>
        <w:tc>
          <w:tcPr>
            <w:tcW w:w="1335" w:type="dxa"/>
          </w:tcPr>
          <w:p w14:paraId="3506E74A" w14:textId="77777777" w:rsidR="005A7F14" w:rsidRDefault="005A7F14">
            <w:pPr>
              <w:pStyle w:val="TableParagraph"/>
              <w:rPr>
                <w:rFonts w:ascii="Times New Roman"/>
                <w:sz w:val="20"/>
              </w:rPr>
            </w:pPr>
          </w:p>
        </w:tc>
      </w:tr>
      <w:tr w:rsidR="005A7F14" w14:paraId="65584DEB" w14:textId="77777777">
        <w:trPr>
          <w:trHeight w:val="606"/>
        </w:trPr>
        <w:tc>
          <w:tcPr>
            <w:tcW w:w="756" w:type="dxa"/>
          </w:tcPr>
          <w:p w14:paraId="140F5E47" w14:textId="77777777" w:rsidR="005A7F14" w:rsidRDefault="0031751E">
            <w:pPr>
              <w:pStyle w:val="TableParagraph"/>
              <w:spacing w:before="123"/>
              <w:ind w:left="95" w:right="88"/>
              <w:jc w:val="center"/>
              <w:rPr>
                <w:sz w:val="20"/>
              </w:rPr>
            </w:pPr>
            <w:r>
              <w:rPr>
                <w:sz w:val="20"/>
              </w:rPr>
              <w:t>71</w:t>
            </w:r>
          </w:p>
        </w:tc>
        <w:tc>
          <w:tcPr>
            <w:tcW w:w="1877" w:type="dxa"/>
          </w:tcPr>
          <w:p w14:paraId="2CA095D9" w14:textId="77777777" w:rsidR="005A7F14" w:rsidRDefault="0031751E">
            <w:pPr>
              <w:pStyle w:val="TableParagraph"/>
              <w:spacing w:before="1"/>
              <w:ind w:left="107"/>
              <w:rPr>
                <w:sz w:val="20"/>
              </w:rPr>
            </w:pPr>
            <w:proofErr w:type="spellStart"/>
            <w:r>
              <w:rPr>
                <w:sz w:val="20"/>
              </w:rPr>
              <w:t>Ganalanga</w:t>
            </w:r>
            <w:proofErr w:type="spellEnd"/>
            <w:r>
              <w:rPr>
                <w:sz w:val="20"/>
              </w:rPr>
              <w:t xml:space="preserve">- </w:t>
            </w:r>
            <w:proofErr w:type="spellStart"/>
            <w:r>
              <w:rPr>
                <w:w w:val="95"/>
                <w:sz w:val="20"/>
              </w:rPr>
              <w:t>Mindibirrina</w:t>
            </w:r>
            <w:proofErr w:type="spellEnd"/>
          </w:p>
        </w:tc>
        <w:tc>
          <w:tcPr>
            <w:tcW w:w="1164" w:type="dxa"/>
          </w:tcPr>
          <w:p w14:paraId="27A16752" w14:textId="77777777" w:rsidR="005A7F14" w:rsidRDefault="0031751E">
            <w:pPr>
              <w:pStyle w:val="TableParagraph"/>
              <w:spacing w:before="123"/>
              <w:ind w:left="108" w:right="98"/>
              <w:jc w:val="center"/>
              <w:rPr>
                <w:sz w:val="20"/>
              </w:rPr>
            </w:pPr>
            <w:r>
              <w:rPr>
                <w:sz w:val="20"/>
              </w:rPr>
              <w:t>NT</w:t>
            </w:r>
          </w:p>
        </w:tc>
        <w:tc>
          <w:tcPr>
            <w:tcW w:w="1179" w:type="dxa"/>
          </w:tcPr>
          <w:p w14:paraId="7605852F" w14:textId="77777777" w:rsidR="005A7F14" w:rsidRDefault="005A7F14">
            <w:pPr>
              <w:pStyle w:val="TableParagraph"/>
              <w:rPr>
                <w:rFonts w:ascii="Times New Roman"/>
                <w:sz w:val="20"/>
              </w:rPr>
            </w:pPr>
          </w:p>
        </w:tc>
        <w:tc>
          <w:tcPr>
            <w:tcW w:w="835" w:type="dxa"/>
          </w:tcPr>
          <w:p w14:paraId="4CD35874" w14:textId="77777777" w:rsidR="005A7F14" w:rsidRDefault="005A7F14">
            <w:pPr>
              <w:pStyle w:val="TableParagraph"/>
              <w:rPr>
                <w:rFonts w:ascii="Times New Roman"/>
                <w:sz w:val="20"/>
              </w:rPr>
            </w:pPr>
          </w:p>
        </w:tc>
        <w:tc>
          <w:tcPr>
            <w:tcW w:w="1164" w:type="dxa"/>
            <w:shd w:val="clear" w:color="auto" w:fill="BED5FF"/>
          </w:tcPr>
          <w:p w14:paraId="62F5480F" w14:textId="77777777" w:rsidR="005A7F14" w:rsidRDefault="0031751E">
            <w:pPr>
              <w:pStyle w:val="TableParagraph"/>
              <w:spacing w:before="123"/>
              <w:ind w:left="532"/>
              <w:rPr>
                <w:sz w:val="20"/>
              </w:rPr>
            </w:pPr>
            <w:r>
              <w:rPr>
                <w:w w:val="99"/>
                <w:sz w:val="20"/>
              </w:rPr>
              <w:t>Y</w:t>
            </w:r>
          </w:p>
        </w:tc>
        <w:tc>
          <w:tcPr>
            <w:tcW w:w="901" w:type="dxa"/>
          </w:tcPr>
          <w:p w14:paraId="76DA5331" w14:textId="77777777" w:rsidR="005A7F14" w:rsidRDefault="005A7F14">
            <w:pPr>
              <w:pStyle w:val="TableParagraph"/>
              <w:rPr>
                <w:rFonts w:ascii="Times New Roman"/>
                <w:sz w:val="20"/>
              </w:rPr>
            </w:pPr>
          </w:p>
        </w:tc>
        <w:tc>
          <w:tcPr>
            <w:tcW w:w="1335" w:type="dxa"/>
          </w:tcPr>
          <w:p w14:paraId="30B686A6" w14:textId="77777777" w:rsidR="005A7F14" w:rsidRDefault="005A7F14">
            <w:pPr>
              <w:pStyle w:val="TableParagraph"/>
              <w:rPr>
                <w:rFonts w:ascii="Times New Roman"/>
                <w:sz w:val="20"/>
              </w:rPr>
            </w:pPr>
          </w:p>
        </w:tc>
      </w:tr>
      <w:tr w:rsidR="005A7F14" w14:paraId="7DE1BFEB" w14:textId="77777777">
        <w:trPr>
          <w:trHeight w:val="364"/>
        </w:trPr>
        <w:tc>
          <w:tcPr>
            <w:tcW w:w="756" w:type="dxa"/>
          </w:tcPr>
          <w:p w14:paraId="07B21262" w14:textId="77777777" w:rsidR="005A7F14" w:rsidRDefault="0031751E">
            <w:pPr>
              <w:pStyle w:val="TableParagraph"/>
              <w:spacing w:before="2"/>
              <w:ind w:left="95" w:right="88"/>
              <w:jc w:val="center"/>
              <w:rPr>
                <w:sz w:val="20"/>
              </w:rPr>
            </w:pPr>
            <w:r>
              <w:rPr>
                <w:sz w:val="20"/>
              </w:rPr>
              <w:t>72</w:t>
            </w:r>
          </w:p>
        </w:tc>
        <w:tc>
          <w:tcPr>
            <w:tcW w:w="1877" w:type="dxa"/>
          </w:tcPr>
          <w:p w14:paraId="5577DD31" w14:textId="77777777" w:rsidR="005A7F14" w:rsidRDefault="0031751E">
            <w:pPr>
              <w:pStyle w:val="TableParagraph"/>
              <w:spacing w:before="2"/>
              <w:ind w:left="107"/>
              <w:rPr>
                <w:sz w:val="20"/>
              </w:rPr>
            </w:pPr>
            <w:proofErr w:type="spellStart"/>
            <w:r>
              <w:rPr>
                <w:sz w:val="20"/>
              </w:rPr>
              <w:t>Wardang</w:t>
            </w:r>
            <w:proofErr w:type="spellEnd"/>
            <w:r>
              <w:rPr>
                <w:sz w:val="20"/>
              </w:rPr>
              <w:t xml:space="preserve"> Island</w:t>
            </w:r>
          </w:p>
        </w:tc>
        <w:tc>
          <w:tcPr>
            <w:tcW w:w="1164" w:type="dxa"/>
          </w:tcPr>
          <w:p w14:paraId="726D855A" w14:textId="77777777" w:rsidR="005A7F14" w:rsidRDefault="0031751E">
            <w:pPr>
              <w:pStyle w:val="TableParagraph"/>
              <w:spacing w:before="2"/>
              <w:ind w:left="108" w:right="98"/>
              <w:jc w:val="center"/>
              <w:rPr>
                <w:sz w:val="20"/>
              </w:rPr>
            </w:pPr>
            <w:r>
              <w:rPr>
                <w:sz w:val="20"/>
              </w:rPr>
              <w:t>SA</w:t>
            </w:r>
          </w:p>
        </w:tc>
        <w:tc>
          <w:tcPr>
            <w:tcW w:w="1179" w:type="dxa"/>
          </w:tcPr>
          <w:p w14:paraId="6EA1C4C1" w14:textId="77777777" w:rsidR="005A7F14" w:rsidRDefault="005A7F14">
            <w:pPr>
              <w:pStyle w:val="TableParagraph"/>
              <w:rPr>
                <w:rFonts w:ascii="Times New Roman"/>
                <w:sz w:val="20"/>
              </w:rPr>
            </w:pPr>
          </w:p>
        </w:tc>
        <w:tc>
          <w:tcPr>
            <w:tcW w:w="835" w:type="dxa"/>
          </w:tcPr>
          <w:p w14:paraId="4F061214" w14:textId="77777777" w:rsidR="005A7F14" w:rsidRDefault="005A7F14">
            <w:pPr>
              <w:pStyle w:val="TableParagraph"/>
              <w:rPr>
                <w:rFonts w:ascii="Times New Roman"/>
                <w:sz w:val="20"/>
              </w:rPr>
            </w:pPr>
          </w:p>
        </w:tc>
        <w:tc>
          <w:tcPr>
            <w:tcW w:w="1164" w:type="dxa"/>
            <w:shd w:val="clear" w:color="auto" w:fill="BED5FF"/>
          </w:tcPr>
          <w:p w14:paraId="36F06DBF" w14:textId="77777777" w:rsidR="005A7F14" w:rsidRDefault="0031751E">
            <w:pPr>
              <w:pStyle w:val="TableParagraph"/>
              <w:spacing w:before="2"/>
              <w:ind w:left="532"/>
              <w:rPr>
                <w:sz w:val="20"/>
              </w:rPr>
            </w:pPr>
            <w:r>
              <w:rPr>
                <w:w w:val="99"/>
                <w:sz w:val="20"/>
              </w:rPr>
              <w:t>Y</w:t>
            </w:r>
          </w:p>
        </w:tc>
        <w:tc>
          <w:tcPr>
            <w:tcW w:w="901" w:type="dxa"/>
          </w:tcPr>
          <w:p w14:paraId="40AF021E" w14:textId="77777777" w:rsidR="005A7F14" w:rsidRDefault="005A7F14">
            <w:pPr>
              <w:pStyle w:val="TableParagraph"/>
              <w:rPr>
                <w:rFonts w:ascii="Times New Roman"/>
                <w:sz w:val="20"/>
              </w:rPr>
            </w:pPr>
          </w:p>
        </w:tc>
        <w:tc>
          <w:tcPr>
            <w:tcW w:w="1335" w:type="dxa"/>
          </w:tcPr>
          <w:p w14:paraId="14F1088D" w14:textId="77777777" w:rsidR="005A7F14" w:rsidRDefault="005A7F14">
            <w:pPr>
              <w:pStyle w:val="TableParagraph"/>
              <w:rPr>
                <w:rFonts w:ascii="Times New Roman"/>
                <w:sz w:val="20"/>
              </w:rPr>
            </w:pPr>
          </w:p>
        </w:tc>
      </w:tr>
      <w:tr w:rsidR="005A7F14" w14:paraId="01E665DB" w14:textId="77777777">
        <w:trPr>
          <w:trHeight w:val="364"/>
        </w:trPr>
        <w:tc>
          <w:tcPr>
            <w:tcW w:w="756" w:type="dxa"/>
          </w:tcPr>
          <w:p w14:paraId="588C8B23" w14:textId="77777777" w:rsidR="005A7F14" w:rsidRDefault="0031751E">
            <w:pPr>
              <w:pStyle w:val="TableParagraph"/>
              <w:spacing w:before="1"/>
              <w:ind w:left="95" w:right="88"/>
              <w:jc w:val="center"/>
              <w:rPr>
                <w:sz w:val="20"/>
              </w:rPr>
            </w:pPr>
            <w:r>
              <w:rPr>
                <w:sz w:val="20"/>
              </w:rPr>
              <w:t>73</w:t>
            </w:r>
          </w:p>
        </w:tc>
        <w:tc>
          <w:tcPr>
            <w:tcW w:w="1877" w:type="dxa"/>
          </w:tcPr>
          <w:p w14:paraId="22C2A5CB" w14:textId="77777777" w:rsidR="005A7F14" w:rsidRDefault="0031751E">
            <w:pPr>
              <w:pStyle w:val="TableParagraph"/>
              <w:spacing w:before="1"/>
              <w:ind w:left="107"/>
              <w:rPr>
                <w:sz w:val="20"/>
              </w:rPr>
            </w:pPr>
            <w:proofErr w:type="spellStart"/>
            <w:r>
              <w:rPr>
                <w:sz w:val="20"/>
              </w:rPr>
              <w:t>Marthakal</w:t>
            </w:r>
            <w:proofErr w:type="spellEnd"/>
          </w:p>
        </w:tc>
        <w:tc>
          <w:tcPr>
            <w:tcW w:w="1164" w:type="dxa"/>
          </w:tcPr>
          <w:p w14:paraId="205F1BB0" w14:textId="77777777" w:rsidR="005A7F14" w:rsidRDefault="0031751E">
            <w:pPr>
              <w:pStyle w:val="TableParagraph"/>
              <w:spacing w:before="1"/>
              <w:ind w:left="108" w:right="98"/>
              <w:jc w:val="center"/>
              <w:rPr>
                <w:sz w:val="20"/>
              </w:rPr>
            </w:pPr>
            <w:r>
              <w:rPr>
                <w:sz w:val="20"/>
              </w:rPr>
              <w:t>NT</w:t>
            </w:r>
          </w:p>
        </w:tc>
        <w:tc>
          <w:tcPr>
            <w:tcW w:w="1179" w:type="dxa"/>
          </w:tcPr>
          <w:p w14:paraId="7BB5F897" w14:textId="77777777" w:rsidR="005A7F14" w:rsidRDefault="005A7F14">
            <w:pPr>
              <w:pStyle w:val="TableParagraph"/>
              <w:rPr>
                <w:rFonts w:ascii="Times New Roman"/>
                <w:sz w:val="20"/>
              </w:rPr>
            </w:pPr>
          </w:p>
        </w:tc>
        <w:tc>
          <w:tcPr>
            <w:tcW w:w="835" w:type="dxa"/>
          </w:tcPr>
          <w:p w14:paraId="0F0EA7E7" w14:textId="77777777" w:rsidR="005A7F14" w:rsidRDefault="005A7F14">
            <w:pPr>
              <w:pStyle w:val="TableParagraph"/>
              <w:rPr>
                <w:rFonts w:ascii="Times New Roman"/>
                <w:sz w:val="20"/>
              </w:rPr>
            </w:pPr>
          </w:p>
        </w:tc>
        <w:tc>
          <w:tcPr>
            <w:tcW w:w="1164" w:type="dxa"/>
            <w:shd w:val="clear" w:color="auto" w:fill="BED5FF"/>
          </w:tcPr>
          <w:p w14:paraId="404C03E3" w14:textId="77777777" w:rsidR="005A7F14" w:rsidRDefault="0031751E">
            <w:pPr>
              <w:pStyle w:val="TableParagraph"/>
              <w:spacing w:before="1"/>
              <w:ind w:left="532"/>
              <w:rPr>
                <w:sz w:val="20"/>
              </w:rPr>
            </w:pPr>
            <w:r>
              <w:rPr>
                <w:w w:val="99"/>
                <w:sz w:val="20"/>
              </w:rPr>
              <w:t>Y</w:t>
            </w:r>
          </w:p>
        </w:tc>
        <w:tc>
          <w:tcPr>
            <w:tcW w:w="901" w:type="dxa"/>
          </w:tcPr>
          <w:p w14:paraId="3F3DF36E" w14:textId="77777777" w:rsidR="005A7F14" w:rsidRDefault="005A7F14">
            <w:pPr>
              <w:pStyle w:val="TableParagraph"/>
              <w:rPr>
                <w:rFonts w:ascii="Times New Roman"/>
                <w:sz w:val="20"/>
              </w:rPr>
            </w:pPr>
          </w:p>
        </w:tc>
        <w:tc>
          <w:tcPr>
            <w:tcW w:w="1335" w:type="dxa"/>
          </w:tcPr>
          <w:p w14:paraId="46B0A63E" w14:textId="77777777" w:rsidR="005A7F14" w:rsidRDefault="005A7F14">
            <w:pPr>
              <w:pStyle w:val="TableParagraph"/>
              <w:rPr>
                <w:rFonts w:ascii="Times New Roman"/>
                <w:sz w:val="20"/>
              </w:rPr>
            </w:pPr>
          </w:p>
        </w:tc>
      </w:tr>
      <w:tr w:rsidR="005A7F14" w14:paraId="04DF3045" w14:textId="77777777">
        <w:trPr>
          <w:trHeight w:val="609"/>
        </w:trPr>
        <w:tc>
          <w:tcPr>
            <w:tcW w:w="756" w:type="dxa"/>
          </w:tcPr>
          <w:p w14:paraId="7EDE210D" w14:textId="77777777" w:rsidR="005A7F14" w:rsidRDefault="0031751E">
            <w:pPr>
              <w:pStyle w:val="TableParagraph"/>
              <w:spacing w:before="123"/>
              <w:ind w:left="95" w:right="88"/>
              <w:jc w:val="center"/>
              <w:rPr>
                <w:sz w:val="20"/>
              </w:rPr>
            </w:pPr>
            <w:r>
              <w:rPr>
                <w:sz w:val="20"/>
              </w:rPr>
              <w:t>74</w:t>
            </w:r>
          </w:p>
        </w:tc>
        <w:tc>
          <w:tcPr>
            <w:tcW w:w="1877" w:type="dxa"/>
          </w:tcPr>
          <w:p w14:paraId="2AA6ED28" w14:textId="77777777" w:rsidR="005A7F14" w:rsidRDefault="0031751E">
            <w:pPr>
              <w:pStyle w:val="TableParagraph"/>
              <w:spacing w:before="1"/>
              <w:ind w:left="107" w:right="183"/>
              <w:rPr>
                <w:sz w:val="20"/>
              </w:rPr>
            </w:pPr>
            <w:r>
              <w:rPr>
                <w:sz w:val="20"/>
              </w:rPr>
              <w:t>South-East Arnhem Land</w:t>
            </w:r>
          </w:p>
        </w:tc>
        <w:tc>
          <w:tcPr>
            <w:tcW w:w="1164" w:type="dxa"/>
          </w:tcPr>
          <w:p w14:paraId="60E4E4A1" w14:textId="77777777" w:rsidR="005A7F14" w:rsidRDefault="0031751E">
            <w:pPr>
              <w:pStyle w:val="TableParagraph"/>
              <w:spacing w:before="123"/>
              <w:ind w:left="108" w:right="98"/>
              <w:jc w:val="center"/>
              <w:rPr>
                <w:sz w:val="20"/>
              </w:rPr>
            </w:pPr>
            <w:r>
              <w:rPr>
                <w:sz w:val="20"/>
              </w:rPr>
              <w:t>NT</w:t>
            </w:r>
          </w:p>
        </w:tc>
        <w:tc>
          <w:tcPr>
            <w:tcW w:w="1179" w:type="dxa"/>
          </w:tcPr>
          <w:p w14:paraId="4823F12B" w14:textId="77777777" w:rsidR="005A7F14" w:rsidRDefault="005A7F14">
            <w:pPr>
              <w:pStyle w:val="TableParagraph"/>
              <w:rPr>
                <w:rFonts w:ascii="Times New Roman"/>
                <w:sz w:val="20"/>
              </w:rPr>
            </w:pPr>
          </w:p>
        </w:tc>
        <w:tc>
          <w:tcPr>
            <w:tcW w:w="835" w:type="dxa"/>
          </w:tcPr>
          <w:p w14:paraId="25E7E20E" w14:textId="77777777" w:rsidR="005A7F14" w:rsidRDefault="005A7F14">
            <w:pPr>
              <w:pStyle w:val="TableParagraph"/>
              <w:rPr>
                <w:rFonts w:ascii="Times New Roman"/>
                <w:sz w:val="20"/>
              </w:rPr>
            </w:pPr>
          </w:p>
        </w:tc>
        <w:tc>
          <w:tcPr>
            <w:tcW w:w="1164" w:type="dxa"/>
            <w:shd w:val="clear" w:color="auto" w:fill="BED5FF"/>
          </w:tcPr>
          <w:p w14:paraId="4BD7E7FC" w14:textId="77777777" w:rsidR="005A7F14" w:rsidRDefault="0031751E">
            <w:pPr>
              <w:pStyle w:val="TableParagraph"/>
              <w:spacing w:before="123"/>
              <w:ind w:left="532"/>
              <w:rPr>
                <w:sz w:val="20"/>
              </w:rPr>
            </w:pPr>
            <w:r>
              <w:rPr>
                <w:w w:val="99"/>
                <w:sz w:val="20"/>
              </w:rPr>
              <w:t>Y</w:t>
            </w:r>
          </w:p>
        </w:tc>
        <w:tc>
          <w:tcPr>
            <w:tcW w:w="901" w:type="dxa"/>
          </w:tcPr>
          <w:p w14:paraId="34EB9187" w14:textId="77777777" w:rsidR="005A7F14" w:rsidRDefault="005A7F14">
            <w:pPr>
              <w:pStyle w:val="TableParagraph"/>
              <w:rPr>
                <w:rFonts w:ascii="Times New Roman"/>
                <w:sz w:val="20"/>
              </w:rPr>
            </w:pPr>
          </w:p>
        </w:tc>
        <w:tc>
          <w:tcPr>
            <w:tcW w:w="1335" w:type="dxa"/>
          </w:tcPr>
          <w:p w14:paraId="4C3ABFDC" w14:textId="77777777" w:rsidR="005A7F14" w:rsidRDefault="005A7F14">
            <w:pPr>
              <w:pStyle w:val="TableParagraph"/>
              <w:rPr>
                <w:rFonts w:ascii="Times New Roman"/>
                <w:sz w:val="20"/>
              </w:rPr>
            </w:pPr>
          </w:p>
        </w:tc>
      </w:tr>
      <w:tr w:rsidR="005A7F14" w14:paraId="35A9F00D" w14:textId="77777777">
        <w:trPr>
          <w:trHeight w:val="364"/>
        </w:trPr>
        <w:tc>
          <w:tcPr>
            <w:tcW w:w="756" w:type="dxa"/>
          </w:tcPr>
          <w:p w14:paraId="014B7646" w14:textId="77777777" w:rsidR="005A7F14" w:rsidRDefault="0031751E">
            <w:pPr>
              <w:pStyle w:val="TableParagraph"/>
              <w:spacing w:before="1"/>
              <w:ind w:left="95" w:right="88"/>
              <w:jc w:val="center"/>
              <w:rPr>
                <w:sz w:val="20"/>
              </w:rPr>
            </w:pPr>
            <w:r>
              <w:rPr>
                <w:sz w:val="20"/>
              </w:rPr>
              <w:t>75</w:t>
            </w:r>
          </w:p>
        </w:tc>
        <w:tc>
          <w:tcPr>
            <w:tcW w:w="1877" w:type="dxa"/>
          </w:tcPr>
          <w:p w14:paraId="47051F8A" w14:textId="77777777" w:rsidR="005A7F14" w:rsidRDefault="0031751E">
            <w:pPr>
              <w:pStyle w:val="TableParagraph"/>
              <w:spacing w:before="1"/>
              <w:ind w:left="107"/>
              <w:rPr>
                <w:sz w:val="20"/>
              </w:rPr>
            </w:pPr>
            <w:r>
              <w:rPr>
                <w:sz w:val="20"/>
              </w:rPr>
              <w:t>Yawuru</w:t>
            </w:r>
          </w:p>
        </w:tc>
        <w:tc>
          <w:tcPr>
            <w:tcW w:w="1164" w:type="dxa"/>
          </w:tcPr>
          <w:p w14:paraId="2A97CF3F" w14:textId="77777777" w:rsidR="005A7F14" w:rsidRDefault="0031751E">
            <w:pPr>
              <w:pStyle w:val="TableParagraph"/>
              <w:spacing w:before="1"/>
              <w:ind w:left="105" w:right="98"/>
              <w:jc w:val="center"/>
              <w:rPr>
                <w:sz w:val="20"/>
              </w:rPr>
            </w:pPr>
            <w:r>
              <w:rPr>
                <w:sz w:val="20"/>
              </w:rPr>
              <w:t>WA</w:t>
            </w:r>
          </w:p>
        </w:tc>
        <w:tc>
          <w:tcPr>
            <w:tcW w:w="1179" w:type="dxa"/>
          </w:tcPr>
          <w:p w14:paraId="1CF66839" w14:textId="77777777" w:rsidR="005A7F14" w:rsidRDefault="005A7F14">
            <w:pPr>
              <w:pStyle w:val="TableParagraph"/>
              <w:rPr>
                <w:rFonts w:ascii="Times New Roman"/>
                <w:sz w:val="20"/>
              </w:rPr>
            </w:pPr>
          </w:p>
        </w:tc>
        <w:tc>
          <w:tcPr>
            <w:tcW w:w="835" w:type="dxa"/>
            <w:shd w:val="clear" w:color="auto" w:fill="EEC6DC"/>
          </w:tcPr>
          <w:p w14:paraId="34091F5C" w14:textId="77777777" w:rsidR="005A7F14" w:rsidRDefault="0031751E">
            <w:pPr>
              <w:pStyle w:val="TableParagraph"/>
              <w:spacing w:before="1"/>
              <w:ind w:left="7"/>
              <w:jc w:val="center"/>
              <w:rPr>
                <w:sz w:val="20"/>
              </w:rPr>
            </w:pPr>
            <w:r>
              <w:rPr>
                <w:w w:val="99"/>
                <w:sz w:val="20"/>
              </w:rPr>
              <w:t>Y</w:t>
            </w:r>
          </w:p>
        </w:tc>
        <w:tc>
          <w:tcPr>
            <w:tcW w:w="1164" w:type="dxa"/>
          </w:tcPr>
          <w:p w14:paraId="5D04DF4B" w14:textId="77777777" w:rsidR="005A7F14" w:rsidRDefault="005A7F14">
            <w:pPr>
              <w:pStyle w:val="TableParagraph"/>
              <w:rPr>
                <w:rFonts w:ascii="Times New Roman"/>
                <w:sz w:val="20"/>
              </w:rPr>
            </w:pPr>
          </w:p>
        </w:tc>
        <w:tc>
          <w:tcPr>
            <w:tcW w:w="901" w:type="dxa"/>
          </w:tcPr>
          <w:p w14:paraId="1EF7160B" w14:textId="77777777" w:rsidR="005A7F14" w:rsidRDefault="005A7F14">
            <w:pPr>
              <w:pStyle w:val="TableParagraph"/>
              <w:rPr>
                <w:rFonts w:ascii="Times New Roman"/>
                <w:sz w:val="20"/>
              </w:rPr>
            </w:pPr>
          </w:p>
        </w:tc>
        <w:tc>
          <w:tcPr>
            <w:tcW w:w="1335" w:type="dxa"/>
          </w:tcPr>
          <w:p w14:paraId="081556A7" w14:textId="77777777" w:rsidR="005A7F14" w:rsidRDefault="005A7F14">
            <w:pPr>
              <w:pStyle w:val="TableParagraph"/>
              <w:rPr>
                <w:rFonts w:ascii="Times New Roman"/>
                <w:sz w:val="20"/>
              </w:rPr>
            </w:pPr>
          </w:p>
        </w:tc>
      </w:tr>
      <w:tr w:rsidR="005A7F14" w14:paraId="2F0F3366" w14:textId="77777777">
        <w:trPr>
          <w:trHeight w:val="361"/>
        </w:trPr>
        <w:tc>
          <w:tcPr>
            <w:tcW w:w="756" w:type="dxa"/>
          </w:tcPr>
          <w:p w14:paraId="536B0314" w14:textId="77777777" w:rsidR="005A7F14" w:rsidRDefault="0031751E">
            <w:pPr>
              <w:pStyle w:val="TableParagraph"/>
              <w:spacing w:before="1"/>
              <w:ind w:left="95" w:right="88"/>
              <w:jc w:val="center"/>
              <w:rPr>
                <w:sz w:val="20"/>
              </w:rPr>
            </w:pPr>
            <w:r>
              <w:rPr>
                <w:sz w:val="20"/>
              </w:rPr>
              <w:t>76</w:t>
            </w:r>
          </w:p>
        </w:tc>
        <w:tc>
          <w:tcPr>
            <w:tcW w:w="1877" w:type="dxa"/>
          </w:tcPr>
          <w:p w14:paraId="4B6206BC" w14:textId="77777777" w:rsidR="005A7F14" w:rsidRDefault="0031751E">
            <w:pPr>
              <w:pStyle w:val="TableParagraph"/>
              <w:spacing w:before="1"/>
              <w:ind w:left="107"/>
              <w:rPr>
                <w:sz w:val="20"/>
              </w:rPr>
            </w:pPr>
            <w:proofErr w:type="spellStart"/>
            <w:r>
              <w:rPr>
                <w:sz w:val="20"/>
              </w:rPr>
              <w:t>Mawonga</w:t>
            </w:r>
            <w:proofErr w:type="spellEnd"/>
          </w:p>
        </w:tc>
        <w:tc>
          <w:tcPr>
            <w:tcW w:w="1164" w:type="dxa"/>
          </w:tcPr>
          <w:p w14:paraId="0AA9266D" w14:textId="77777777" w:rsidR="005A7F14" w:rsidRDefault="0031751E">
            <w:pPr>
              <w:pStyle w:val="TableParagraph"/>
              <w:spacing w:before="1"/>
              <w:ind w:left="105" w:right="98"/>
              <w:jc w:val="center"/>
              <w:rPr>
                <w:sz w:val="20"/>
              </w:rPr>
            </w:pPr>
            <w:r>
              <w:rPr>
                <w:sz w:val="20"/>
              </w:rPr>
              <w:t>NSW</w:t>
            </w:r>
          </w:p>
        </w:tc>
        <w:tc>
          <w:tcPr>
            <w:tcW w:w="1179" w:type="dxa"/>
          </w:tcPr>
          <w:p w14:paraId="1633EC0E" w14:textId="77777777" w:rsidR="005A7F14" w:rsidRDefault="005A7F14">
            <w:pPr>
              <w:pStyle w:val="TableParagraph"/>
              <w:rPr>
                <w:rFonts w:ascii="Times New Roman"/>
                <w:sz w:val="20"/>
              </w:rPr>
            </w:pPr>
          </w:p>
        </w:tc>
        <w:tc>
          <w:tcPr>
            <w:tcW w:w="835" w:type="dxa"/>
          </w:tcPr>
          <w:p w14:paraId="60F3A15C" w14:textId="77777777" w:rsidR="005A7F14" w:rsidRDefault="005A7F14">
            <w:pPr>
              <w:pStyle w:val="TableParagraph"/>
              <w:rPr>
                <w:rFonts w:ascii="Times New Roman"/>
                <w:sz w:val="20"/>
              </w:rPr>
            </w:pPr>
          </w:p>
        </w:tc>
        <w:tc>
          <w:tcPr>
            <w:tcW w:w="1164" w:type="dxa"/>
            <w:shd w:val="clear" w:color="auto" w:fill="BED5FF"/>
          </w:tcPr>
          <w:p w14:paraId="7D82432D" w14:textId="77777777" w:rsidR="005A7F14" w:rsidRDefault="0031751E">
            <w:pPr>
              <w:pStyle w:val="TableParagraph"/>
              <w:spacing w:before="1"/>
              <w:ind w:left="532"/>
              <w:rPr>
                <w:sz w:val="20"/>
              </w:rPr>
            </w:pPr>
            <w:r>
              <w:rPr>
                <w:w w:val="99"/>
                <w:sz w:val="20"/>
              </w:rPr>
              <w:t>Y</w:t>
            </w:r>
          </w:p>
        </w:tc>
        <w:tc>
          <w:tcPr>
            <w:tcW w:w="901" w:type="dxa"/>
          </w:tcPr>
          <w:p w14:paraId="0957FFC0" w14:textId="77777777" w:rsidR="005A7F14" w:rsidRDefault="005A7F14">
            <w:pPr>
              <w:pStyle w:val="TableParagraph"/>
              <w:rPr>
                <w:rFonts w:ascii="Times New Roman"/>
                <w:sz w:val="20"/>
              </w:rPr>
            </w:pPr>
          </w:p>
        </w:tc>
        <w:tc>
          <w:tcPr>
            <w:tcW w:w="1335" w:type="dxa"/>
          </w:tcPr>
          <w:p w14:paraId="0FFB1988" w14:textId="77777777" w:rsidR="005A7F14" w:rsidRDefault="005A7F14">
            <w:pPr>
              <w:pStyle w:val="TableParagraph"/>
              <w:rPr>
                <w:rFonts w:ascii="Times New Roman"/>
                <w:sz w:val="20"/>
              </w:rPr>
            </w:pPr>
          </w:p>
        </w:tc>
      </w:tr>
      <w:tr w:rsidR="005A7F14" w14:paraId="7BA4760A" w14:textId="77777777">
        <w:trPr>
          <w:trHeight w:val="486"/>
        </w:trPr>
        <w:tc>
          <w:tcPr>
            <w:tcW w:w="756" w:type="dxa"/>
          </w:tcPr>
          <w:p w14:paraId="7533A459" w14:textId="77777777" w:rsidR="005A7F14" w:rsidRDefault="0031751E">
            <w:pPr>
              <w:pStyle w:val="TableParagraph"/>
              <w:spacing w:before="123"/>
              <w:ind w:left="96" w:right="88"/>
              <w:jc w:val="center"/>
              <w:rPr>
                <w:sz w:val="20"/>
              </w:rPr>
            </w:pPr>
            <w:r>
              <w:rPr>
                <w:sz w:val="20"/>
              </w:rPr>
              <w:t>TOTAL</w:t>
            </w:r>
          </w:p>
        </w:tc>
        <w:tc>
          <w:tcPr>
            <w:tcW w:w="1877" w:type="dxa"/>
          </w:tcPr>
          <w:p w14:paraId="5934D16F" w14:textId="77777777" w:rsidR="005A7F14" w:rsidRDefault="0031751E">
            <w:pPr>
              <w:pStyle w:val="TableParagraph"/>
              <w:spacing w:before="123"/>
              <w:ind w:left="815" w:right="808"/>
              <w:jc w:val="center"/>
              <w:rPr>
                <w:sz w:val="20"/>
              </w:rPr>
            </w:pPr>
            <w:r>
              <w:rPr>
                <w:sz w:val="20"/>
              </w:rPr>
              <w:t>38</w:t>
            </w:r>
          </w:p>
        </w:tc>
        <w:tc>
          <w:tcPr>
            <w:tcW w:w="1164" w:type="dxa"/>
          </w:tcPr>
          <w:p w14:paraId="5A5366C4" w14:textId="77777777" w:rsidR="005A7F14" w:rsidRDefault="005A7F14">
            <w:pPr>
              <w:pStyle w:val="TableParagraph"/>
              <w:rPr>
                <w:rFonts w:ascii="Times New Roman"/>
                <w:sz w:val="20"/>
              </w:rPr>
            </w:pPr>
          </w:p>
        </w:tc>
        <w:tc>
          <w:tcPr>
            <w:tcW w:w="1179" w:type="dxa"/>
          </w:tcPr>
          <w:p w14:paraId="4C9A4611" w14:textId="77777777" w:rsidR="005A7F14" w:rsidRDefault="0031751E">
            <w:pPr>
              <w:pStyle w:val="TableParagraph"/>
              <w:spacing w:before="123"/>
              <w:ind w:left="469" w:right="457"/>
              <w:jc w:val="center"/>
              <w:rPr>
                <w:sz w:val="20"/>
              </w:rPr>
            </w:pPr>
            <w:r>
              <w:rPr>
                <w:sz w:val="20"/>
              </w:rPr>
              <w:t>12</w:t>
            </w:r>
          </w:p>
        </w:tc>
        <w:tc>
          <w:tcPr>
            <w:tcW w:w="835" w:type="dxa"/>
          </w:tcPr>
          <w:p w14:paraId="557EE459" w14:textId="77777777" w:rsidR="005A7F14" w:rsidRDefault="0031751E">
            <w:pPr>
              <w:pStyle w:val="TableParagraph"/>
              <w:spacing w:before="123"/>
              <w:ind w:left="294" w:right="287"/>
              <w:jc w:val="center"/>
              <w:rPr>
                <w:sz w:val="20"/>
              </w:rPr>
            </w:pPr>
            <w:r>
              <w:rPr>
                <w:sz w:val="20"/>
              </w:rPr>
              <w:t>11</w:t>
            </w:r>
          </w:p>
        </w:tc>
        <w:tc>
          <w:tcPr>
            <w:tcW w:w="1164" w:type="dxa"/>
          </w:tcPr>
          <w:p w14:paraId="000B12F0" w14:textId="77777777" w:rsidR="005A7F14" w:rsidRDefault="0031751E">
            <w:pPr>
              <w:pStyle w:val="TableParagraph"/>
              <w:spacing w:before="123"/>
              <w:ind w:left="477"/>
              <w:rPr>
                <w:sz w:val="20"/>
              </w:rPr>
            </w:pPr>
            <w:r>
              <w:rPr>
                <w:sz w:val="20"/>
              </w:rPr>
              <w:t>28</w:t>
            </w:r>
          </w:p>
        </w:tc>
        <w:tc>
          <w:tcPr>
            <w:tcW w:w="901" w:type="dxa"/>
          </w:tcPr>
          <w:p w14:paraId="43E2242E" w14:textId="77777777" w:rsidR="005A7F14" w:rsidRDefault="0031751E">
            <w:pPr>
              <w:pStyle w:val="TableParagraph"/>
              <w:spacing w:before="123"/>
              <w:ind w:left="8"/>
              <w:jc w:val="center"/>
              <w:rPr>
                <w:sz w:val="20"/>
              </w:rPr>
            </w:pPr>
            <w:r>
              <w:rPr>
                <w:w w:val="99"/>
                <w:sz w:val="20"/>
              </w:rPr>
              <w:t>7</w:t>
            </w:r>
          </w:p>
        </w:tc>
        <w:tc>
          <w:tcPr>
            <w:tcW w:w="1335" w:type="dxa"/>
          </w:tcPr>
          <w:p w14:paraId="5592CBE2" w14:textId="77777777" w:rsidR="005A7F14" w:rsidRDefault="0031751E">
            <w:pPr>
              <w:pStyle w:val="TableParagraph"/>
              <w:spacing w:before="123"/>
              <w:ind w:left="9"/>
              <w:jc w:val="center"/>
              <w:rPr>
                <w:sz w:val="20"/>
              </w:rPr>
            </w:pPr>
            <w:r>
              <w:rPr>
                <w:w w:val="99"/>
                <w:sz w:val="20"/>
              </w:rPr>
              <w:t>0</w:t>
            </w:r>
          </w:p>
        </w:tc>
      </w:tr>
    </w:tbl>
    <w:p w14:paraId="6F514EC6" w14:textId="77777777" w:rsidR="005A7F14" w:rsidRDefault="005A7F14">
      <w:pPr>
        <w:pStyle w:val="BodyText"/>
        <w:ind w:left="0"/>
        <w:rPr>
          <w:sz w:val="26"/>
        </w:rPr>
      </w:pPr>
    </w:p>
    <w:p w14:paraId="1D47E690" w14:textId="77777777" w:rsidR="005A7F14" w:rsidRPr="00F93B3D" w:rsidRDefault="0031751E">
      <w:pPr>
        <w:pStyle w:val="BodyText"/>
        <w:spacing w:before="58"/>
        <w:ind w:right="537"/>
        <w:rPr>
          <w:b/>
          <w:bCs/>
        </w:rPr>
      </w:pPr>
      <w:bookmarkStart w:id="4" w:name="_bookmark4"/>
      <w:bookmarkEnd w:id="4"/>
      <w:r w:rsidRPr="00F93B3D">
        <w:rPr>
          <w:b/>
          <w:bCs/>
          <w:color w:val="404040"/>
        </w:rPr>
        <w:t>Table 6.3: Non-IPA Management Plans, Indigenous specific research priorities and alignment with NESP2 Hubs</w:t>
      </w:r>
    </w:p>
    <w:p w14:paraId="6A64D3B0" w14:textId="77777777" w:rsidR="005A7F14" w:rsidRDefault="005A7F14">
      <w:pPr>
        <w:pStyle w:val="BodyText"/>
        <w:spacing w:before="10"/>
        <w:ind w:left="0"/>
        <w:rPr>
          <w:sz w:val="9"/>
        </w:r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264"/>
        <w:gridCol w:w="1135"/>
        <w:gridCol w:w="1274"/>
        <w:gridCol w:w="852"/>
        <w:gridCol w:w="1274"/>
        <w:gridCol w:w="994"/>
        <w:gridCol w:w="1416"/>
      </w:tblGrid>
      <w:tr w:rsidR="005A7F14" w14:paraId="63539047" w14:textId="77777777">
        <w:trPr>
          <w:trHeight w:val="484"/>
        </w:trPr>
        <w:tc>
          <w:tcPr>
            <w:tcW w:w="3399" w:type="dxa"/>
            <w:gridSpan w:val="2"/>
            <w:shd w:val="clear" w:color="auto" w:fill="D9D9D9"/>
          </w:tcPr>
          <w:p w14:paraId="3919FBAD" w14:textId="77777777" w:rsidR="005A7F14" w:rsidRPr="00E56D12" w:rsidRDefault="0031751E">
            <w:pPr>
              <w:pStyle w:val="TableParagraph"/>
              <w:spacing w:before="121"/>
              <w:ind w:left="666"/>
              <w:rPr>
                <w:b/>
                <w:bCs/>
                <w:sz w:val="20"/>
              </w:rPr>
            </w:pPr>
            <w:r w:rsidRPr="00E56D12">
              <w:rPr>
                <w:b/>
                <w:bCs/>
                <w:sz w:val="20"/>
              </w:rPr>
              <w:t>Other Management Plans</w:t>
            </w:r>
          </w:p>
        </w:tc>
        <w:tc>
          <w:tcPr>
            <w:tcW w:w="1274" w:type="dxa"/>
            <w:vMerge w:val="restart"/>
            <w:shd w:val="clear" w:color="auto" w:fill="F4C4FB"/>
          </w:tcPr>
          <w:p w14:paraId="34D8F58A" w14:textId="77777777" w:rsidR="005A7F14" w:rsidRPr="00E56D12" w:rsidRDefault="0031751E">
            <w:pPr>
              <w:pStyle w:val="TableParagraph"/>
              <w:spacing w:before="121"/>
              <w:ind w:left="107" w:right="202"/>
              <w:rPr>
                <w:b/>
                <w:bCs/>
                <w:sz w:val="20"/>
              </w:rPr>
            </w:pPr>
            <w:r w:rsidRPr="00E56D12">
              <w:rPr>
                <w:b/>
                <w:bCs/>
                <w:sz w:val="20"/>
              </w:rPr>
              <w:t>Indigenous specific research methods / approaches</w:t>
            </w:r>
          </w:p>
        </w:tc>
        <w:tc>
          <w:tcPr>
            <w:tcW w:w="4536" w:type="dxa"/>
            <w:gridSpan w:val="4"/>
            <w:shd w:val="clear" w:color="auto" w:fill="D9D9D9"/>
          </w:tcPr>
          <w:p w14:paraId="025072DF" w14:textId="77777777" w:rsidR="005A7F14" w:rsidRPr="00E56D12" w:rsidRDefault="0031751E">
            <w:pPr>
              <w:pStyle w:val="TableParagraph"/>
              <w:spacing w:before="121"/>
              <w:ind w:left="437"/>
              <w:rPr>
                <w:b/>
                <w:bCs/>
                <w:sz w:val="20"/>
              </w:rPr>
            </w:pPr>
            <w:r w:rsidRPr="00E56D12">
              <w:rPr>
                <w:b/>
                <w:bCs/>
                <w:sz w:val="20"/>
              </w:rPr>
              <w:t>NESP2 Hubs and Indigenous specific priorities</w:t>
            </w:r>
          </w:p>
        </w:tc>
      </w:tr>
      <w:tr w:rsidR="005A7F14" w14:paraId="6DF0A9C0" w14:textId="77777777">
        <w:trPr>
          <w:trHeight w:val="1461"/>
        </w:trPr>
        <w:tc>
          <w:tcPr>
            <w:tcW w:w="2264" w:type="dxa"/>
          </w:tcPr>
          <w:p w14:paraId="17D2E7A3" w14:textId="77777777" w:rsidR="005A7F14" w:rsidRDefault="0031751E">
            <w:pPr>
              <w:pStyle w:val="TableParagraph"/>
              <w:spacing w:before="121"/>
              <w:ind w:left="107"/>
              <w:rPr>
                <w:sz w:val="20"/>
              </w:rPr>
            </w:pPr>
            <w:r>
              <w:rPr>
                <w:sz w:val="20"/>
              </w:rPr>
              <w:t>Location Name</w:t>
            </w:r>
          </w:p>
        </w:tc>
        <w:tc>
          <w:tcPr>
            <w:tcW w:w="1135" w:type="dxa"/>
          </w:tcPr>
          <w:p w14:paraId="110D1BA7" w14:textId="77777777" w:rsidR="005A7F14" w:rsidRPr="00E56D12" w:rsidRDefault="005A7F14">
            <w:pPr>
              <w:pStyle w:val="TableParagraph"/>
              <w:rPr>
                <w:b/>
                <w:bCs/>
                <w:sz w:val="20"/>
              </w:rPr>
            </w:pPr>
          </w:p>
          <w:p w14:paraId="3EEA9B6D" w14:textId="77777777" w:rsidR="005A7F14" w:rsidRPr="00E56D12" w:rsidRDefault="005A7F14">
            <w:pPr>
              <w:pStyle w:val="TableParagraph"/>
              <w:spacing w:before="10"/>
              <w:rPr>
                <w:b/>
                <w:bCs/>
                <w:sz w:val="29"/>
              </w:rPr>
            </w:pPr>
          </w:p>
          <w:p w14:paraId="4959828F" w14:textId="77777777" w:rsidR="005A7F14" w:rsidRPr="00E56D12" w:rsidRDefault="0031751E">
            <w:pPr>
              <w:pStyle w:val="TableParagraph"/>
              <w:ind w:left="90" w:right="86"/>
              <w:jc w:val="center"/>
              <w:rPr>
                <w:b/>
                <w:bCs/>
                <w:sz w:val="20"/>
              </w:rPr>
            </w:pPr>
            <w:r w:rsidRPr="00E56D12">
              <w:rPr>
                <w:b/>
                <w:bCs/>
                <w:sz w:val="20"/>
              </w:rPr>
              <w:t>Jurisdiction</w:t>
            </w:r>
          </w:p>
        </w:tc>
        <w:tc>
          <w:tcPr>
            <w:tcW w:w="1274" w:type="dxa"/>
            <w:vMerge/>
            <w:tcBorders>
              <w:top w:val="nil"/>
            </w:tcBorders>
            <w:shd w:val="clear" w:color="auto" w:fill="F4C4FB"/>
          </w:tcPr>
          <w:p w14:paraId="09F27940" w14:textId="77777777" w:rsidR="005A7F14" w:rsidRPr="00E56D12" w:rsidRDefault="005A7F14">
            <w:pPr>
              <w:rPr>
                <w:b/>
                <w:bCs/>
                <w:sz w:val="2"/>
                <w:szCs w:val="2"/>
              </w:rPr>
            </w:pPr>
          </w:p>
        </w:tc>
        <w:tc>
          <w:tcPr>
            <w:tcW w:w="852" w:type="dxa"/>
            <w:shd w:val="clear" w:color="auto" w:fill="EEC6DC"/>
          </w:tcPr>
          <w:p w14:paraId="362242CC" w14:textId="77777777" w:rsidR="005A7F14" w:rsidRPr="00E56D12" w:rsidRDefault="0031751E">
            <w:pPr>
              <w:pStyle w:val="TableParagraph"/>
              <w:spacing w:before="121"/>
              <w:ind w:left="108" w:right="127"/>
              <w:rPr>
                <w:b/>
                <w:bCs/>
                <w:sz w:val="20"/>
              </w:rPr>
            </w:pPr>
            <w:r w:rsidRPr="00E56D12">
              <w:rPr>
                <w:b/>
                <w:bCs/>
                <w:sz w:val="20"/>
              </w:rPr>
              <w:t>Marine &amp; Coastal Hub</w:t>
            </w:r>
          </w:p>
        </w:tc>
        <w:tc>
          <w:tcPr>
            <w:tcW w:w="1274" w:type="dxa"/>
            <w:shd w:val="clear" w:color="auto" w:fill="BED5FF"/>
          </w:tcPr>
          <w:p w14:paraId="5B696EF0" w14:textId="77777777" w:rsidR="005A7F14" w:rsidRPr="00E56D12" w:rsidRDefault="0031751E">
            <w:pPr>
              <w:pStyle w:val="TableParagraph"/>
              <w:spacing w:before="121"/>
              <w:ind w:left="108" w:right="213"/>
              <w:rPr>
                <w:b/>
                <w:bCs/>
                <w:sz w:val="20"/>
              </w:rPr>
            </w:pPr>
            <w:r w:rsidRPr="00E56D12">
              <w:rPr>
                <w:b/>
                <w:bCs/>
                <w:sz w:val="20"/>
              </w:rPr>
              <w:t>Resilient Landscapes Hub</w:t>
            </w:r>
          </w:p>
        </w:tc>
        <w:tc>
          <w:tcPr>
            <w:tcW w:w="994" w:type="dxa"/>
            <w:shd w:val="clear" w:color="auto" w:fill="E7FFBD"/>
          </w:tcPr>
          <w:p w14:paraId="76D1DD6D" w14:textId="77777777" w:rsidR="005A7F14" w:rsidRPr="00E56D12" w:rsidRDefault="0031751E">
            <w:pPr>
              <w:pStyle w:val="TableParagraph"/>
              <w:spacing w:before="121"/>
              <w:ind w:left="108" w:right="215"/>
              <w:jc w:val="both"/>
              <w:rPr>
                <w:b/>
                <w:bCs/>
                <w:sz w:val="20"/>
              </w:rPr>
            </w:pPr>
            <w:r w:rsidRPr="00E56D12">
              <w:rPr>
                <w:b/>
                <w:bCs/>
                <w:sz w:val="20"/>
              </w:rPr>
              <w:t>Climate Systems Hub</w:t>
            </w:r>
          </w:p>
        </w:tc>
        <w:tc>
          <w:tcPr>
            <w:tcW w:w="1416" w:type="dxa"/>
            <w:shd w:val="clear" w:color="auto" w:fill="FF4E87"/>
          </w:tcPr>
          <w:p w14:paraId="6C28A28B" w14:textId="77777777" w:rsidR="005A7F14" w:rsidRPr="00E56D12" w:rsidRDefault="0031751E">
            <w:pPr>
              <w:pStyle w:val="TableParagraph"/>
              <w:spacing w:before="121"/>
              <w:ind w:left="109" w:right="196"/>
              <w:rPr>
                <w:b/>
                <w:bCs/>
                <w:sz w:val="20"/>
              </w:rPr>
            </w:pPr>
            <w:r w:rsidRPr="00E56D12">
              <w:rPr>
                <w:b/>
                <w:bCs/>
                <w:sz w:val="20"/>
              </w:rPr>
              <w:t>Sustainable Communities and Waste Management Hub</w:t>
            </w:r>
          </w:p>
        </w:tc>
      </w:tr>
      <w:tr w:rsidR="005A7F14" w14:paraId="7ED17374" w14:textId="77777777">
        <w:trPr>
          <w:trHeight w:val="364"/>
        </w:trPr>
        <w:tc>
          <w:tcPr>
            <w:tcW w:w="2264" w:type="dxa"/>
          </w:tcPr>
          <w:p w14:paraId="44AD234F" w14:textId="77777777" w:rsidR="005A7F14" w:rsidRDefault="0031751E">
            <w:pPr>
              <w:pStyle w:val="TableParagraph"/>
              <w:spacing w:before="1"/>
              <w:ind w:left="107"/>
              <w:rPr>
                <w:sz w:val="20"/>
              </w:rPr>
            </w:pPr>
            <w:r>
              <w:rPr>
                <w:sz w:val="20"/>
              </w:rPr>
              <w:t xml:space="preserve">Nyul </w:t>
            </w:r>
            <w:proofErr w:type="spellStart"/>
            <w:r>
              <w:rPr>
                <w:sz w:val="20"/>
              </w:rPr>
              <w:t>Nyul</w:t>
            </w:r>
            <w:proofErr w:type="spellEnd"/>
          </w:p>
        </w:tc>
        <w:tc>
          <w:tcPr>
            <w:tcW w:w="1135" w:type="dxa"/>
          </w:tcPr>
          <w:p w14:paraId="41307194" w14:textId="77777777" w:rsidR="005A7F14" w:rsidRDefault="0031751E">
            <w:pPr>
              <w:pStyle w:val="TableParagraph"/>
              <w:spacing w:before="1"/>
              <w:ind w:left="90" w:right="84"/>
              <w:jc w:val="center"/>
              <w:rPr>
                <w:sz w:val="20"/>
              </w:rPr>
            </w:pPr>
            <w:r>
              <w:rPr>
                <w:sz w:val="20"/>
              </w:rPr>
              <w:t>WA</w:t>
            </w:r>
          </w:p>
        </w:tc>
        <w:tc>
          <w:tcPr>
            <w:tcW w:w="1274" w:type="dxa"/>
            <w:shd w:val="clear" w:color="auto" w:fill="F4C4FB"/>
          </w:tcPr>
          <w:p w14:paraId="7A821979" w14:textId="77777777" w:rsidR="005A7F14" w:rsidRDefault="0031751E">
            <w:pPr>
              <w:pStyle w:val="TableParagraph"/>
              <w:spacing w:before="1"/>
              <w:ind w:left="9"/>
              <w:jc w:val="center"/>
              <w:rPr>
                <w:sz w:val="20"/>
              </w:rPr>
            </w:pPr>
            <w:r>
              <w:rPr>
                <w:w w:val="99"/>
                <w:sz w:val="20"/>
              </w:rPr>
              <w:t>Y</w:t>
            </w:r>
          </w:p>
        </w:tc>
        <w:tc>
          <w:tcPr>
            <w:tcW w:w="852" w:type="dxa"/>
          </w:tcPr>
          <w:p w14:paraId="6C182792" w14:textId="77777777" w:rsidR="005A7F14" w:rsidRDefault="005A7F14">
            <w:pPr>
              <w:pStyle w:val="TableParagraph"/>
              <w:rPr>
                <w:rFonts w:ascii="Times New Roman"/>
                <w:sz w:val="20"/>
              </w:rPr>
            </w:pPr>
          </w:p>
        </w:tc>
        <w:tc>
          <w:tcPr>
            <w:tcW w:w="1274" w:type="dxa"/>
            <w:shd w:val="clear" w:color="auto" w:fill="BED5FF"/>
          </w:tcPr>
          <w:p w14:paraId="75B30C8A" w14:textId="77777777" w:rsidR="005A7F14" w:rsidRDefault="0031751E">
            <w:pPr>
              <w:pStyle w:val="TableParagraph"/>
              <w:spacing w:before="1"/>
              <w:ind w:left="590"/>
              <w:rPr>
                <w:sz w:val="20"/>
              </w:rPr>
            </w:pPr>
            <w:r>
              <w:rPr>
                <w:w w:val="99"/>
                <w:sz w:val="20"/>
              </w:rPr>
              <w:t>Y</w:t>
            </w:r>
          </w:p>
        </w:tc>
        <w:tc>
          <w:tcPr>
            <w:tcW w:w="994" w:type="dxa"/>
          </w:tcPr>
          <w:p w14:paraId="70F4F7C0" w14:textId="77777777" w:rsidR="005A7F14" w:rsidRDefault="005A7F14">
            <w:pPr>
              <w:pStyle w:val="TableParagraph"/>
              <w:rPr>
                <w:rFonts w:ascii="Times New Roman"/>
                <w:sz w:val="20"/>
              </w:rPr>
            </w:pPr>
          </w:p>
        </w:tc>
        <w:tc>
          <w:tcPr>
            <w:tcW w:w="1416" w:type="dxa"/>
          </w:tcPr>
          <w:p w14:paraId="00D17711" w14:textId="77777777" w:rsidR="005A7F14" w:rsidRDefault="005A7F14">
            <w:pPr>
              <w:pStyle w:val="TableParagraph"/>
              <w:rPr>
                <w:rFonts w:ascii="Times New Roman"/>
                <w:sz w:val="20"/>
              </w:rPr>
            </w:pPr>
          </w:p>
        </w:tc>
      </w:tr>
      <w:tr w:rsidR="005A7F14" w14:paraId="413BE962" w14:textId="77777777">
        <w:trPr>
          <w:trHeight w:val="362"/>
        </w:trPr>
        <w:tc>
          <w:tcPr>
            <w:tcW w:w="2264" w:type="dxa"/>
          </w:tcPr>
          <w:p w14:paraId="444736C2" w14:textId="77777777" w:rsidR="005A7F14" w:rsidRDefault="0031751E">
            <w:pPr>
              <w:pStyle w:val="TableParagraph"/>
              <w:spacing w:before="1"/>
              <w:ind w:left="107"/>
              <w:rPr>
                <w:sz w:val="20"/>
              </w:rPr>
            </w:pPr>
            <w:proofErr w:type="spellStart"/>
            <w:r>
              <w:rPr>
                <w:sz w:val="20"/>
              </w:rPr>
              <w:t>Myala</w:t>
            </w:r>
            <w:proofErr w:type="spellEnd"/>
          </w:p>
        </w:tc>
        <w:tc>
          <w:tcPr>
            <w:tcW w:w="1135" w:type="dxa"/>
          </w:tcPr>
          <w:p w14:paraId="7B0C7B07" w14:textId="77777777" w:rsidR="005A7F14" w:rsidRDefault="0031751E">
            <w:pPr>
              <w:pStyle w:val="TableParagraph"/>
              <w:spacing w:before="1"/>
              <w:ind w:left="90" w:right="84"/>
              <w:jc w:val="center"/>
              <w:rPr>
                <w:sz w:val="20"/>
              </w:rPr>
            </w:pPr>
            <w:r>
              <w:rPr>
                <w:sz w:val="20"/>
              </w:rPr>
              <w:t>WA</w:t>
            </w:r>
          </w:p>
        </w:tc>
        <w:tc>
          <w:tcPr>
            <w:tcW w:w="1274" w:type="dxa"/>
            <w:shd w:val="clear" w:color="auto" w:fill="F4C4FB"/>
          </w:tcPr>
          <w:p w14:paraId="28D8B17B" w14:textId="77777777" w:rsidR="005A7F14" w:rsidRDefault="0031751E">
            <w:pPr>
              <w:pStyle w:val="TableParagraph"/>
              <w:spacing w:before="1"/>
              <w:ind w:left="9"/>
              <w:jc w:val="center"/>
              <w:rPr>
                <w:sz w:val="20"/>
              </w:rPr>
            </w:pPr>
            <w:r>
              <w:rPr>
                <w:w w:val="99"/>
                <w:sz w:val="20"/>
              </w:rPr>
              <w:t>Y</w:t>
            </w:r>
          </w:p>
        </w:tc>
        <w:tc>
          <w:tcPr>
            <w:tcW w:w="852" w:type="dxa"/>
          </w:tcPr>
          <w:p w14:paraId="1C1D91EE" w14:textId="77777777" w:rsidR="005A7F14" w:rsidRDefault="005A7F14">
            <w:pPr>
              <w:pStyle w:val="TableParagraph"/>
              <w:rPr>
                <w:rFonts w:ascii="Times New Roman"/>
                <w:sz w:val="20"/>
              </w:rPr>
            </w:pPr>
          </w:p>
        </w:tc>
        <w:tc>
          <w:tcPr>
            <w:tcW w:w="1274" w:type="dxa"/>
          </w:tcPr>
          <w:p w14:paraId="35740D8F" w14:textId="77777777" w:rsidR="005A7F14" w:rsidRDefault="005A7F14">
            <w:pPr>
              <w:pStyle w:val="TableParagraph"/>
              <w:rPr>
                <w:rFonts w:ascii="Times New Roman"/>
                <w:sz w:val="20"/>
              </w:rPr>
            </w:pPr>
          </w:p>
        </w:tc>
        <w:tc>
          <w:tcPr>
            <w:tcW w:w="994" w:type="dxa"/>
          </w:tcPr>
          <w:p w14:paraId="40390655" w14:textId="77777777" w:rsidR="005A7F14" w:rsidRDefault="005A7F14">
            <w:pPr>
              <w:pStyle w:val="TableParagraph"/>
              <w:rPr>
                <w:rFonts w:ascii="Times New Roman"/>
                <w:sz w:val="20"/>
              </w:rPr>
            </w:pPr>
          </w:p>
        </w:tc>
        <w:tc>
          <w:tcPr>
            <w:tcW w:w="1416" w:type="dxa"/>
          </w:tcPr>
          <w:p w14:paraId="66B4CD7C" w14:textId="77777777" w:rsidR="005A7F14" w:rsidRDefault="005A7F14">
            <w:pPr>
              <w:pStyle w:val="TableParagraph"/>
              <w:rPr>
                <w:rFonts w:ascii="Times New Roman"/>
                <w:sz w:val="20"/>
              </w:rPr>
            </w:pPr>
          </w:p>
        </w:tc>
      </w:tr>
      <w:tr w:rsidR="005A7F14" w14:paraId="05D86659" w14:textId="77777777">
        <w:trPr>
          <w:trHeight w:val="364"/>
        </w:trPr>
        <w:tc>
          <w:tcPr>
            <w:tcW w:w="2264" w:type="dxa"/>
          </w:tcPr>
          <w:p w14:paraId="32753E8D" w14:textId="77777777" w:rsidR="005A7F14" w:rsidRDefault="0031751E">
            <w:pPr>
              <w:pStyle w:val="TableParagraph"/>
              <w:spacing w:before="3"/>
              <w:ind w:left="107"/>
              <w:rPr>
                <w:sz w:val="20"/>
              </w:rPr>
            </w:pPr>
            <w:proofErr w:type="spellStart"/>
            <w:r>
              <w:rPr>
                <w:sz w:val="20"/>
              </w:rPr>
              <w:t>Walalakoo</w:t>
            </w:r>
            <w:proofErr w:type="spellEnd"/>
          </w:p>
        </w:tc>
        <w:tc>
          <w:tcPr>
            <w:tcW w:w="1135" w:type="dxa"/>
          </w:tcPr>
          <w:p w14:paraId="56ED7AEB" w14:textId="77777777" w:rsidR="005A7F14" w:rsidRDefault="0031751E">
            <w:pPr>
              <w:pStyle w:val="TableParagraph"/>
              <w:spacing w:before="3"/>
              <w:ind w:left="90" w:right="84"/>
              <w:jc w:val="center"/>
              <w:rPr>
                <w:sz w:val="20"/>
              </w:rPr>
            </w:pPr>
            <w:r>
              <w:rPr>
                <w:sz w:val="20"/>
              </w:rPr>
              <w:t>WA</w:t>
            </w:r>
          </w:p>
        </w:tc>
        <w:tc>
          <w:tcPr>
            <w:tcW w:w="1274" w:type="dxa"/>
            <w:shd w:val="clear" w:color="auto" w:fill="F4C4FB"/>
          </w:tcPr>
          <w:p w14:paraId="6F915F16" w14:textId="77777777" w:rsidR="005A7F14" w:rsidRDefault="0031751E">
            <w:pPr>
              <w:pStyle w:val="TableParagraph"/>
              <w:spacing w:before="3"/>
              <w:ind w:left="9"/>
              <w:jc w:val="center"/>
              <w:rPr>
                <w:sz w:val="20"/>
              </w:rPr>
            </w:pPr>
            <w:r>
              <w:rPr>
                <w:w w:val="99"/>
                <w:sz w:val="20"/>
              </w:rPr>
              <w:t>Y</w:t>
            </w:r>
          </w:p>
        </w:tc>
        <w:tc>
          <w:tcPr>
            <w:tcW w:w="852" w:type="dxa"/>
          </w:tcPr>
          <w:p w14:paraId="36F9C767" w14:textId="77777777" w:rsidR="005A7F14" w:rsidRDefault="005A7F14">
            <w:pPr>
              <w:pStyle w:val="TableParagraph"/>
              <w:rPr>
                <w:rFonts w:ascii="Times New Roman"/>
                <w:sz w:val="20"/>
              </w:rPr>
            </w:pPr>
          </w:p>
        </w:tc>
        <w:tc>
          <w:tcPr>
            <w:tcW w:w="1274" w:type="dxa"/>
            <w:shd w:val="clear" w:color="auto" w:fill="BED5FF"/>
          </w:tcPr>
          <w:p w14:paraId="2763905D" w14:textId="77777777" w:rsidR="005A7F14" w:rsidRDefault="0031751E">
            <w:pPr>
              <w:pStyle w:val="TableParagraph"/>
              <w:spacing w:before="3"/>
              <w:ind w:left="590"/>
              <w:rPr>
                <w:sz w:val="20"/>
              </w:rPr>
            </w:pPr>
            <w:r>
              <w:rPr>
                <w:w w:val="99"/>
                <w:sz w:val="20"/>
              </w:rPr>
              <w:t>Y</w:t>
            </w:r>
          </w:p>
        </w:tc>
        <w:tc>
          <w:tcPr>
            <w:tcW w:w="994" w:type="dxa"/>
          </w:tcPr>
          <w:p w14:paraId="31A60060" w14:textId="77777777" w:rsidR="005A7F14" w:rsidRDefault="005A7F14">
            <w:pPr>
              <w:pStyle w:val="TableParagraph"/>
              <w:rPr>
                <w:rFonts w:ascii="Times New Roman"/>
                <w:sz w:val="20"/>
              </w:rPr>
            </w:pPr>
          </w:p>
        </w:tc>
        <w:tc>
          <w:tcPr>
            <w:tcW w:w="1416" w:type="dxa"/>
          </w:tcPr>
          <w:p w14:paraId="48692C61" w14:textId="77777777" w:rsidR="005A7F14" w:rsidRDefault="005A7F14">
            <w:pPr>
              <w:pStyle w:val="TableParagraph"/>
              <w:rPr>
                <w:rFonts w:ascii="Times New Roman"/>
                <w:sz w:val="20"/>
              </w:rPr>
            </w:pPr>
          </w:p>
        </w:tc>
      </w:tr>
      <w:tr w:rsidR="005A7F14" w14:paraId="607E8264" w14:textId="77777777">
        <w:trPr>
          <w:trHeight w:val="364"/>
        </w:trPr>
        <w:tc>
          <w:tcPr>
            <w:tcW w:w="2264" w:type="dxa"/>
          </w:tcPr>
          <w:p w14:paraId="59DB2764" w14:textId="77777777" w:rsidR="005A7F14" w:rsidRDefault="0031751E">
            <w:pPr>
              <w:pStyle w:val="TableParagraph"/>
              <w:spacing w:before="1"/>
              <w:ind w:left="107"/>
              <w:rPr>
                <w:sz w:val="20"/>
              </w:rPr>
            </w:pPr>
            <w:proofErr w:type="spellStart"/>
            <w:r>
              <w:rPr>
                <w:sz w:val="20"/>
              </w:rPr>
              <w:t>Yirralka</w:t>
            </w:r>
            <w:proofErr w:type="spellEnd"/>
            <w:r>
              <w:rPr>
                <w:sz w:val="20"/>
              </w:rPr>
              <w:t xml:space="preserve"> Rangers</w:t>
            </w:r>
          </w:p>
        </w:tc>
        <w:tc>
          <w:tcPr>
            <w:tcW w:w="1135" w:type="dxa"/>
          </w:tcPr>
          <w:p w14:paraId="478316F9" w14:textId="77777777" w:rsidR="005A7F14" w:rsidRDefault="0031751E">
            <w:pPr>
              <w:pStyle w:val="TableParagraph"/>
              <w:spacing w:before="1"/>
              <w:ind w:left="90" w:right="86"/>
              <w:jc w:val="center"/>
              <w:rPr>
                <w:sz w:val="20"/>
              </w:rPr>
            </w:pPr>
            <w:r>
              <w:rPr>
                <w:sz w:val="20"/>
              </w:rPr>
              <w:t>NT</w:t>
            </w:r>
          </w:p>
        </w:tc>
        <w:tc>
          <w:tcPr>
            <w:tcW w:w="1274" w:type="dxa"/>
          </w:tcPr>
          <w:p w14:paraId="0B151AAA" w14:textId="77777777" w:rsidR="005A7F14" w:rsidRDefault="005A7F14">
            <w:pPr>
              <w:pStyle w:val="TableParagraph"/>
              <w:rPr>
                <w:rFonts w:ascii="Times New Roman"/>
                <w:sz w:val="20"/>
              </w:rPr>
            </w:pPr>
          </w:p>
        </w:tc>
        <w:tc>
          <w:tcPr>
            <w:tcW w:w="852" w:type="dxa"/>
          </w:tcPr>
          <w:p w14:paraId="43AC94D2" w14:textId="77777777" w:rsidR="005A7F14" w:rsidRDefault="005A7F14">
            <w:pPr>
              <w:pStyle w:val="TableParagraph"/>
              <w:rPr>
                <w:rFonts w:ascii="Times New Roman"/>
                <w:sz w:val="20"/>
              </w:rPr>
            </w:pPr>
          </w:p>
        </w:tc>
        <w:tc>
          <w:tcPr>
            <w:tcW w:w="1274" w:type="dxa"/>
            <w:shd w:val="clear" w:color="auto" w:fill="BED5FF"/>
          </w:tcPr>
          <w:p w14:paraId="4ED60472" w14:textId="77777777" w:rsidR="005A7F14" w:rsidRDefault="0031751E">
            <w:pPr>
              <w:pStyle w:val="TableParagraph"/>
              <w:spacing w:before="1"/>
              <w:ind w:left="590"/>
              <w:rPr>
                <w:sz w:val="20"/>
              </w:rPr>
            </w:pPr>
            <w:r>
              <w:rPr>
                <w:w w:val="99"/>
                <w:sz w:val="20"/>
              </w:rPr>
              <w:t>Y</w:t>
            </w:r>
          </w:p>
        </w:tc>
        <w:tc>
          <w:tcPr>
            <w:tcW w:w="994" w:type="dxa"/>
          </w:tcPr>
          <w:p w14:paraId="0375602F" w14:textId="77777777" w:rsidR="005A7F14" w:rsidRDefault="005A7F14">
            <w:pPr>
              <w:pStyle w:val="TableParagraph"/>
              <w:rPr>
                <w:rFonts w:ascii="Times New Roman"/>
                <w:sz w:val="20"/>
              </w:rPr>
            </w:pPr>
          </w:p>
        </w:tc>
        <w:tc>
          <w:tcPr>
            <w:tcW w:w="1416" w:type="dxa"/>
          </w:tcPr>
          <w:p w14:paraId="48F7AB96" w14:textId="77777777" w:rsidR="005A7F14" w:rsidRDefault="005A7F14">
            <w:pPr>
              <w:pStyle w:val="TableParagraph"/>
              <w:rPr>
                <w:rFonts w:ascii="Times New Roman"/>
                <w:sz w:val="20"/>
              </w:rPr>
            </w:pPr>
          </w:p>
        </w:tc>
      </w:tr>
      <w:tr w:rsidR="005A7F14" w14:paraId="642AF80E" w14:textId="77777777">
        <w:trPr>
          <w:trHeight w:val="609"/>
        </w:trPr>
        <w:tc>
          <w:tcPr>
            <w:tcW w:w="2264" w:type="dxa"/>
          </w:tcPr>
          <w:p w14:paraId="705D1B8E" w14:textId="77777777" w:rsidR="005A7F14" w:rsidRDefault="0031751E">
            <w:pPr>
              <w:pStyle w:val="TableParagraph"/>
              <w:spacing w:before="1"/>
              <w:ind w:left="107"/>
              <w:rPr>
                <w:sz w:val="20"/>
              </w:rPr>
            </w:pPr>
            <w:r>
              <w:rPr>
                <w:sz w:val="20"/>
              </w:rPr>
              <w:t>Pormpuraaw Rangers (Land in Trust)</w:t>
            </w:r>
          </w:p>
        </w:tc>
        <w:tc>
          <w:tcPr>
            <w:tcW w:w="1135" w:type="dxa"/>
          </w:tcPr>
          <w:p w14:paraId="3EF6FFA3" w14:textId="77777777" w:rsidR="005A7F14" w:rsidRDefault="0031751E">
            <w:pPr>
              <w:pStyle w:val="TableParagraph"/>
              <w:spacing w:before="123"/>
              <w:ind w:left="87" w:right="86"/>
              <w:jc w:val="center"/>
              <w:rPr>
                <w:sz w:val="20"/>
              </w:rPr>
            </w:pPr>
            <w:r>
              <w:rPr>
                <w:sz w:val="20"/>
              </w:rPr>
              <w:t>Qld</w:t>
            </w:r>
          </w:p>
        </w:tc>
        <w:tc>
          <w:tcPr>
            <w:tcW w:w="1274" w:type="dxa"/>
            <w:shd w:val="clear" w:color="auto" w:fill="F4C4FB"/>
          </w:tcPr>
          <w:p w14:paraId="24B9DD2B" w14:textId="77777777" w:rsidR="005A7F14" w:rsidRDefault="0031751E">
            <w:pPr>
              <w:pStyle w:val="TableParagraph"/>
              <w:spacing w:before="123"/>
              <w:ind w:left="9"/>
              <w:jc w:val="center"/>
              <w:rPr>
                <w:sz w:val="20"/>
              </w:rPr>
            </w:pPr>
            <w:r>
              <w:rPr>
                <w:w w:val="99"/>
                <w:sz w:val="20"/>
              </w:rPr>
              <w:t>Y</w:t>
            </w:r>
          </w:p>
        </w:tc>
        <w:tc>
          <w:tcPr>
            <w:tcW w:w="852" w:type="dxa"/>
          </w:tcPr>
          <w:p w14:paraId="09668301" w14:textId="77777777" w:rsidR="005A7F14" w:rsidRDefault="005A7F14">
            <w:pPr>
              <w:pStyle w:val="TableParagraph"/>
              <w:rPr>
                <w:rFonts w:ascii="Times New Roman"/>
                <w:sz w:val="20"/>
              </w:rPr>
            </w:pPr>
          </w:p>
        </w:tc>
        <w:tc>
          <w:tcPr>
            <w:tcW w:w="1274" w:type="dxa"/>
          </w:tcPr>
          <w:p w14:paraId="3CBC82AC" w14:textId="77777777" w:rsidR="005A7F14" w:rsidRDefault="005A7F14">
            <w:pPr>
              <w:pStyle w:val="TableParagraph"/>
              <w:rPr>
                <w:rFonts w:ascii="Times New Roman"/>
                <w:sz w:val="20"/>
              </w:rPr>
            </w:pPr>
          </w:p>
        </w:tc>
        <w:tc>
          <w:tcPr>
            <w:tcW w:w="994" w:type="dxa"/>
            <w:shd w:val="clear" w:color="auto" w:fill="E7FFBD"/>
          </w:tcPr>
          <w:p w14:paraId="26EDDB00" w14:textId="77777777" w:rsidR="005A7F14" w:rsidRDefault="0031751E">
            <w:pPr>
              <w:pStyle w:val="TableParagraph"/>
              <w:spacing w:before="123"/>
              <w:ind w:left="449"/>
              <w:rPr>
                <w:sz w:val="20"/>
              </w:rPr>
            </w:pPr>
            <w:r>
              <w:rPr>
                <w:w w:val="99"/>
                <w:sz w:val="20"/>
              </w:rPr>
              <w:t>Y</w:t>
            </w:r>
          </w:p>
        </w:tc>
        <w:tc>
          <w:tcPr>
            <w:tcW w:w="1416" w:type="dxa"/>
          </w:tcPr>
          <w:p w14:paraId="0DF752AA" w14:textId="77777777" w:rsidR="005A7F14" w:rsidRDefault="005A7F14">
            <w:pPr>
              <w:pStyle w:val="TableParagraph"/>
              <w:rPr>
                <w:rFonts w:ascii="Times New Roman"/>
                <w:sz w:val="20"/>
              </w:rPr>
            </w:pPr>
          </w:p>
        </w:tc>
      </w:tr>
      <w:tr w:rsidR="005A7F14" w14:paraId="7184C0EF" w14:textId="77777777">
        <w:trPr>
          <w:trHeight w:val="606"/>
        </w:trPr>
        <w:tc>
          <w:tcPr>
            <w:tcW w:w="2264" w:type="dxa"/>
          </w:tcPr>
          <w:p w14:paraId="5F7B290B" w14:textId="77777777" w:rsidR="005A7F14" w:rsidRDefault="0031751E">
            <w:pPr>
              <w:pStyle w:val="TableParagraph"/>
              <w:spacing w:before="1"/>
              <w:ind w:left="107" w:right="109"/>
              <w:rPr>
                <w:sz w:val="20"/>
              </w:rPr>
            </w:pPr>
            <w:proofErr w:type="spellStart"/>
            <w:r>
              <w:rPr>
                <w:sz w:val="20"/>
              </w:rPr>
              <w:t>Gunggandii</w:t>
            </w:r>
            <w:proofErr w:type="spellEnd"/>
            <w:r>
              <w:rPr>
                <w:sz w:val="20"/>
              </w:rPr>
              <w:t xml:space="preserve"> Land and Sea Rangers</w:t>
            </w:r>
          </w:p>
        </w:tc>
        <w:tc>
          <w:tcPr>
            <w:tcW w:w="1135" w:type="dxa"/>
          </w:tcPr>
          <w:p w14:paraId="12E283C9" w14:textId="77777777" w:rsidR="005A7F14" w:rsidRDefault="0031751E">
            <w:pPr>
              <w:pStyle w:val="TableParagraph"/>
              <w:spacing w:before="123"/>
              <w:ind w:left="87" w:right="86"/>
              <w:jc w:val="center"/>
              <w:rPr>
                <w:sz w:val="20"/>
              </w:rPr>
            </w:pPr>
            <w:r>
              <w:rPr>
                <w:sz w:val="20"/>
              </w:rPr>
              <w:t>Qld</w:t>
            </w:r>
          </w:p>
        </w:tc>
        <w:tc>
          <w:tcPr>
            <w:tcW w:w="1274" w:type="dxa"/>
          </w:tcPr>
          <w:p w14:paraId="16E66201" w14:textId="77777777" w:rsidR="005A7F14" w:rsidRDefault="005A7F14">
            <w:pPr>
              <w:pStyle w:val="TableParagraph"/>
              <w:rPr>
                <w:rFonts w:ascii="Times New Roman"/>
                <w:sz w:val="20"/>
              </w:rPr>
            </w:pPr>
          </w:p>
        </w:tc>
        <w:tc>
          <w:tcPr>
            <w:tcW w:w="852" w:type="dxa"/>
          </w:tcPr>
          <w:p w14:paraId="1F4A8BBE" w14:textId="77777777" w:rsidR="005A7F14" w:rsidRDefault="005A7F14">
            <w:pPr>
              <w:pStyle w:val="TableParagraph"/>
              <w:rPr>
                <w:rFonts w:ascii="Times New Roman"/>
                <w:sz w:val="20"/>
              </w:rPr>
            </w:pPr>
          </w:p>
        </w:tc>
        <w:tc>
          <w:tcPr>
            <w:tcW w:w="1274" w:type="dxa"/>
          </w:tcPr>
          <w:p w14:paraId="09DFC787" w14:textId="77777777" w:rsidR="005A7F14" w:rsidRDefault="005A7F14">
            <w:pPr>
              <w:pStyle w:val="TableParagraph"/>
              <w:rPr>
                <w:rFonts w:ascii="Times New Roman"/>
                <w:sz w:val="20"/>
              </w:rPr>
            </w:pPr>
          </w:p>
        </w:tc>
        <w:tc>
          <w:tcPr>
            <w:tcW w:w="994" w:type="dxa"/>
          </w:tcPr>
          <w:p w14:paraId="68F62ECD" w14:textId="77777777" w:rsidR="005A7F14" w:rsidRDefault="005A7F14">
            <w:pPr>
              <w:pStyle w:val="TableParagraph"/>
              <w:rPr>
                <w:rFonts w:ascii="Times New Roman"/>
                <w:sz w:val="20"/>
              </w:rPr>
            </w:pPr>
          </w:p>
        </w:tc>
        <w:tc>
          <w:tcPr>
            <w:tcW w:w="1416" w:type="dxa"/>
          </w:tcPr>
          <w:p w14:paraId="476E677B" w14:textId="77777777" w:rsidR="005A7F14" w:rsidRDefault="005A7F14">
            <w:pPr>
              <w:pStyle w:val="TableParagraph"/>
              <w:rPr>
                <w:rFonts w:ascii="Times New Roman"/>
                <w:sz w:val="20"/>
              </w:rPr>
            </w:pPr>
          </w:p>
        </w:tc>
      </w:tr>
      <w:tr w:rsidR="005A7F14" w14:paraId="75833320" w14:textId="77777777">
        <w:trPr>
          <w:trHeight w:val="853"/>
        </w:trPr>
        <w:tc>
          <w:tcPr>
            <w:tcW w:w="2264" w:type="dxa"/>
          </w:tcPr>
          <w:p w14:paraId="0CEA7635" w14:textId="77777777" w:rsidR="005A7F14" w:rsidRDefault="0031751E">
            <w:pPr>
              <w:pStyle w:val="TableParagraph"/>
              <w:spacing w:before="1"/>
              <w:ind w:left="107" w:right="463"/>
              <w:rPr>
                <w:sz w:val="20"/>
              </w:rPr>
            </w:pPr>
            <w:r>
              <w:rPr>
                <w:sz w:val="20"/>
              </w:rPr>
              <w:t xml:space="preserve">Eastern Kuku Yalanji, </w:t>
            </w:r>
            <w:proofErr w:type="spellStart"/>
            <w:r>
              <w:rPr>
                <w:sz w:val="20"/>
              </w:rPr>
              <w:t>Mandingalbay</w:t>
            </w:r>
            <w:proofErr w:type="spellEnd"/>
            <w:r>
              <w:rPr>
                <w:sz w:val="20"/>
              </w:rPr>
              <w:t xml:space="preserve"> and </w:t>
            </w:r>
            <w:proofErr w:type="spellStart"/>
            <w:r>
              <w:rPr>
                <w:sz w:val="20"/>
              </w:rPr>
              <w:t>GirringunI</w:t>
            </w:r>
            <w:proofErr w:type="spellEnd"/>
          </w:p>
        </w:tc>
        <w:tc>
          <w:tcPr>
            <w:tcW w:w="1135" w:type="dxa"/>
          </w:tcPr>
          <w:p w14:paraId="19C57997" w14:textId="77777777" w:rsidR="005A7F14" w:rsidRDefault="005A7F14">
            <w:pPr>
              <w:pStyle w:val="TableParagraph"/>
              <w:spacing w:before="2"/>
              <w:rPr>
                <w:sz w:val="20"/>
              </w:rPr>
            </w:pPr>
          </w:p>
          <w:p w14:paraId="47D66162" w14:textId="77777777" w:rsidR="005A7F14" w:rsidRDefault="0031751E">
            <w:pPr>
              <w:pStyle w:val="TableParagraph"/>
              <w:ind w:left="87" w:right="86"/>
              <w:jc w:val="center"/>
              <w:rPr>
                <w:sz w:val="20"/>
              </w:rPr>
            </w:pPr>
            <w:r>
              <w:rPr>
                <w:sz w:val="20"/>
              </w:rPr>
              <w:t>Qld</w:t>
            </w:r>
          </w:p>
        </w:tc>
        <w:tc>
          <w:tcPr>
            <w:tcW w:w="1274" w:type="dxa"/>
          </w:tcPr>
          <w:p w14:paraId="0662CA0A" w14:textId="77777777" w:rsidR="005A7F14" w:rsidRDefault="005A7F14">
            <w:pPr>
              <w:pStyle w:val="TableParagraph"/>
              <w:rPr>
                <w:rFonts w:ascii="Times New Roman"/>
                <w:sz w:val="20"/>
              </w:rPr>
            </w:pPr>
          </w:p>
        </w:tc>
        <w:tc>
          <w:tcPr>
            <w:tcW w:w="852" w:type="dxa"/>
          </w:tcPr>
          <w:p w14:paraId="16EDA885" w14:textId="77777777" w:rsidR="005A7F14" w:rsidRDefault="005A7F14">
            <w:pPr>
              <w:pStyle w:val="TableParagraph"/>
              <w:rPr>
                <w:rFonts w:ascii="Times New Roman"/>
                <w:sz w:val="20"/>
              </w:rPr>
            </w:pPr>
          </w:p>
        </w:tc>
        <w:tc>
          <w:tcPr>
            <w:tcW w:w="1274" w:type="dxa"/>
          </w:tcPr>
          <w:p w14:paraId="3666A359" w14:textId="77777777" w:rsidR="005A7F14" w:rsidRDefault="005A7F14">
            <w:pPr>
              <w:pStyle w:val="TableParagraph"/>
              <w:rPr>
                <w:rFonts w:ascii="Times New Roman"/>
                <w:sz w:val="20"/>
              </w:rPr>
            </w:pPr>
          </w:p>
        </w:tc>
        <w:tc>
          <w:tcPr>
            <w:tcW w:w="994" w:type="dxa"/>
          </w:tcPr>
          <w:p w14:paraId="1A956D8B" w14:textId="77777777" w:rsidR="005A7F14" w:rsidRDefault="005A7F14">
            <w:pPr>
              <w:pStyle w:val="TableParagraph"/>
              <w:rPr>
                <w:rFonts w:ascii="Times New Roman"/>
                <w:sz w:val="20"/>
              </w:rPr>
            </w:pPr>
          </w:p>
        </w:tc>
        <w:tc>
          <w:tcPr>
            <w:tcW w:w="1416" w:type="dxa"/>
          </w:tcPr>
          <w:p w14:paraId="719829A9" w14:textId="77777777" w:rsidR="005A7F14" w:rsidRDefault="005A7F14">
            <w:pPr>
              <w:pStyle w:val="TableParagraph"/>
              <w:rPr>
                <w:rFonts w:ascii="Times New Roman"/>
                <w:sz w:val="20"/>
              </w:rPr>
            </w:pPr>
          </w:p>
        </w:tc>
      </w:tr>
      <w:tr w:rsidR="005A7F14" w14:paraId="603A0768" w14:textId="77777777">
        <w:trPr>
          <w:trHeight w:val="484"/>
        </w:trPr>
        <w:tc>
          <w:tcPr>
            <w:tcW w:w="2264" w:type="dxa"/>
          </w:tcPr>
          <w:p w14:paraId="454D40D8" w14:textId="77777777" w:rsidR="005A7F14" w:rsidRDefault="0031751E">
            <w:pPr>
              <w:pStyle w:val="TableParagraph"/>
              <w:spacing w:before="121"/>
              <w:ind w:left="107"/>
              <w:rPr>
                <w:sz w:val="20"/>
              </w:rPr>
            </w:pPr>
            <w:r>
              <w:rPr>
                <w:sz w:val="20"/>
              </w:rPr>
              <w:t>TOTAL</w:t>
            </w:r>
          </w:p>
        </w:tc>
        <w:tc>
          <w:tcPr>
            <w:tcW w:w="1135" w:type="dxa"/>
          </w:tcPr>
          <w:p w14:paraId="3FBD7FCD" w14:textId="77777777" w:rsidR="005A7F14" w:rsidRDefault="0031751E">
            <w:pPr>
              <w:pStyle w:val="TableParagraph"/>
              <w:spacing w:before="121"/>
              <w:ind w:left="7"/>
              <w:jc w:val="center"/>
              <w:rPr>
                <w:sz w:val="20"/>
              </w:rPr>
            </w:pPr>
            <w:r>
              <w:rPr>
                <w:w w:val="99"/>
                <w:sz w:val="20"/>
              </w:rPr>
              <w:t>7</w:t>
            </w:r>
          </w:p>
        </w:tc>
        <w:tc>
          <w:tcPr>
            <w:tcW w:w="1274" w:type="dxa"/>
          </w:tcPr>
          <w:p w14:paraId="63DCB370" w14:textId="77777777" w:rsidR="005A7F14" w:rsidRDefault="0031751E">
            <w:pPr>
              <w:pStyle w:val="TableParagraph"/>
              <w:spacing w:before="121"/>
              <w:ind w:left="12"/>
              <w:jc w:val="center"/>
              <w:rPr>
                <w:sz w:val="20"/>
              </w:rPr>
            </w:pPr>
            <w:r>
              <w:rPr>
                <w:w w:val="99"/>
                <w:sz w:val="20"/>
              </w:rPr>
              <w:t>4</w:t>
            </w:r>
          </w:p>
        </w:tc>
        <w:tc>
          <w:tcPr>
            <w:tcW w:w="852" w:type="dxa"/>
          </w:tcPr>
          <w:p w14:paraId="24DCB2F8" w14:textId="77777777" w:rsidR="005A7F14" w:rsidRDefault="005A7F14">
            <w:pPr>
              <w:pStyle w:val="TableParagraph"/>
              <w:rPr>
                <w:rFonts w:ascii="Times New Roman"/>
                <w:sz w:val="20"/>
              </w:rPr>
            </w:pPr>
          </w:p>
        </w:tc>
        <w:tc>
          <w:tcPr>
            <w:tcW w:w="1274" w:type="dxa"/>
          </w:tcPr>
          <w:p w14:paraId="41CAA16C" w14:textId="77777777" w:rsidR="005A7F14" w:rsidRDefault="0031751E">
            <w:pPr>
              <w:pStyle w:val="TableParagraph"/>
              <w:spacing w:before="121"/>
              <w:ind w:left="586"/>
              <w:rPr>
                <w:sz w:val="20"/>
              </w:rPr>
            </w:pPr>
            <w:r>
              <w:rPr>
                <w:w w:val="99"/>
                <w:sz w:val="20"/>
              </w:rPr>
              <w:t>3</w:t>
            </w:r>
          </w:p>
        </w:tc>
        <w:tc>
          <w:tcPr>
            <w:tcW w:w="994" w:type="dxa"/>
          </w:tcPr>
          <w:p w14:paraId="159F7119" w14:textId="77777777" w:rsidR="005A7F14" w:rsidRDefault="0031751E">
            <w:pPr>
              <w:pStyle w:val="TableParagraph"/>
              <w:spacing w:before="121"/>
              <w:ind w:left="447"/>
              <w:rPr>
                <w:sz w:val="20"/>
              </w:rPr>
            </w:pPr>
            <w:r>
              <w:rPr>
                <w:w w:val="99"/>
                <w:sz w:val="20"/>
              </w:rPr>
              <w:t>1</w:t>
            </w:r>
          </w:p>
        </w:tc>
        <w:tc>
          <w:tcPr>
            <w:tcW w:w="1416" w:type="dxa"/>
          </w:tcPr>
          <w:p w14:paraId="20C27CCA" w14:textId="77777777" w:rsidR="005A7F14" w:rsidRDefault="005A7F14">
            <w:pPr>
              <w:pStyle w:val="TableParagraph"/>
              <w:rPr>
                <w:rFonts w:ascii="Times New Roman"/>
                <w:sz w:val="20"/>
              </w:rPr>
            </w:pPr>
          </w:p>
        </w:tc>
      </w:tr>
    </w:tbl>
    <w:p w14:paraId="2D3AF933" w14:textId="77777777" w:rsidR="005A7F14" w:rsidRDefault="005A7F14">
      <w:pPr>
        <w:rPr>
          <w:rFonts w:ascii="Times New Roman"/>
          <w:sz w:val="20"/>
        </w:rPr>
        <w:sectPr w:rsidR="005A7F14">
          <w:pgSz w:w="11910" w:h="16840"/>
          <w:pgMar w:top="1400" w:right="1000" w:bottom="940" w:left="1420" w:header="0" w:footer="747" w:gutter="0"/>
          <w:cols w:space="720"/>
        </w:sectPr>
      </w:pPr>
    </w:p>
    <w:p w14:paraId="4A76D9E4" w14:textId="77777777" w:rsidR="005A7F14" w:rsidRPr="005D0CA2" w:rsidRDefault="0031751E">
      <w:pPr>
        <w:pStyle w:val="Heading1"/>
        <w:numPr>
          <w:ilvl w:val="1"/>
          <w:numId w:val="6"/>
        </w:numPr>
        <w:tabs>
          <w:tab w:val="left" w:pos="860"/>
          <w:tab w:val="left" w:pos="861"/>
        </w:tabs>
        <w:spacing w:before="22"/>
        <w:ind w:hanging="721"/>
        <w:rPr>
          <w:b/>
          <w:bCs/>
        </w:rPr>
      </w:pPr>
      <w:r w:rsidRPr="005D0CA2">
        <w:rPr>
          <w:b/>
          <w:bCs/>
        </w:rPr>
        <w:lastRenderedPageBreak/>
        <w:t>Indigenous Ecological Knowledge (IEK) and research</w:t>
      </w:r>
      <w:r w:rsidRPr="005D0CA2">
        <w:rPr>
          <w:b/>
          <w:bCs/>
          <w:spacing w:val="-9"/>
        </w:rPr>
        <w:t xml:space="preserve"> </w:t>
      </w:r>
      <w:r w:rsidRPr="005D0CA2">
        <w:rPr>
          <w:b/>
          <w:bCs/>
        </w:rPr>
        <w:t>methods</w:t>
      </w:r>
    </w:p>
    <w:p w14:paraId="4C91DACA" w14:textId="77777777" w:rsidR="005A7F14" w:rsidRDefault="0031751E">
      <w:pPr>
        <w:pStyle w:val="BodyText"/>
        <w:spacing w:before="148" w:line="259" w:lineRule="auto"/>
        <w:ind w:right="137"/>
      </w:pPr>
      <w:r>
        <w:t xml:space="preserve">As shown in </w:t>
      </w:r>
      <w:hyperlink w:anchor="_bookmark3" w:history="1">
        <w:r w:rsidRPr="00E56D12">
          <w:rPr>
            <w:b/>
            <w:bCs/>
          </w:rPr>
          <w:t>Table 6.2</w:t>
        </w:r>
        <w:r>
          <w:t xml:space="preserve"> </w:t>
        </w:r>
      </w:hyperlink>
      <w:r>
        <w:t xml:space="preserve">and </w:t>
      </w:r>
      <w:hyperlink w:anchor="_bookmark4" w:history="1">
        <w:r w:rsidRPr="00E56D12">
          <w:rPr>
            <w:b/>
            <w:bCs/>
          </w:rPr>
          <w:t>Table 6.3</w:t>
        </w:r>
        <w:r>
          <w:t xml:space="preserve"> </w:t>
        </w:r>
      </w:hyperlink>
      <w:r>
        <w:t>respectively, 12 of the IPA Management Plans and 4 of the Other Non- IPA Management Plans identified several issues relating to accessing and making use of Indigenous ecological or traditional ecological knowledge (IEK, TEK), or more simply referred to as Indigenous Knowledge (IK). The issues relate primarily to methods or approaches to undertaking scientific or other research with Indigenous peoples about their ancestral lands and waters. As the extracts in the Spreadsheet show, Indigenous peoples are not always happy with the way their ecological or traditional knowledge has been used by researchers or end-users of the research. Hence, issues of process and approaches to working with Indigenous peoples and accessing their ecological or traditional knowledge are identified in the management plans as a matter of priority. The concerns relate mainly to a lack of understanding by researchers and end-users about the two- way nature of relationships between Indigenous and non-Indigenous knowledge systems.</w:t>
      </w:r>
    </w:p>
    <w:p w14:paraId="128364DB" w14:textId="77777777" w:rsidR="005A7F14" w:rsidRDefault="0031751E">
      <w:pPr>
        <w:pStyle w:val="BodyText"/>
        <w:spacing w:before="116" w:line="259" w:lineRule="auto"/>
        <w:ind w:right="251"/>
      </w:pPr>
      <w:r>
        <w:t>For TOs, getting the relationships right is often a higher priority than deciding what the research question(s) may be. Experience has shown that the best outcomes arise when the methodologies and protocols are agreed upon before getting to the topics to be researched – rather than the other way around.</w:t>
      </w:r>
    </w:p>
    <w:p w14:paraId="55C0E77F" w14:textId="77777777" w:rsidR="005A7F14" w:rsidRDefault="0031751E">
      <w:pPr>
        <w:pStyle w:val="BodyText"/>
        <w:spacing w:before="120" w:line="259" w:lineRule="auto"/>
        <w:ind w:right="789"/>
      </w:pPr>
      <w:r>
        <w:t>The majority of the IPA Management Plans state that any research conducted on Country can only be undertaken with the free, prior and informed consent of, and in partnership with, the relevant TOs or custodians of the area, and that there is an understanding and acceptance of the need for two-way knowledge exchange and learning before research can begin on Country.</w:t>
      </w:r>
    </w:p>
    <w:p w14:paraId="647DC6FB" w14:textId="77777777" w:rsidR="005A7F14" w:rsidRDefault="0031751E">
      <w:pPr>
        <w:pStyle w:val="BodyText"/>
        <w:spacing w:before="119" w:line="259" w:lineRule="auto"/>
        <w:ind w:right="550"/>
      </w:pPr>
      <w:r>
        <w:t>What follows is a rich tapestry of advice about research methodologies in an intercultural context where two-way learning and knowledge exchange is such an important element of the partnerships between Indigenous and non-Indigenous interests.</w:t>
      </w:r>
    </w:p>
    <w:p w14:paraId="48476ED7" w14:textId="77777777" w:rsidR="005A7F14" w:rsidRDefault="0031751E">
      <w:pPr>
        <w:spacing w:before="120" w:line="259" w:lineRule="auto"/>
        <w:ind w:left="140" w:right="649"/>
        <w:rPr>
          <w:sz w:val="21"/>
        </w:rPr>
      </w:pPr>
      <w:r>
        <w:rPr>
          <w:sz w:val="21"/>
        </w:rPr>
        <w:t xml:space="preserve">Where relevant, this information has been classified into the five priority research topics and questions identified by Hill </w:t>
      </w:r>
      <w:r>
        <w:rPr>
          <w:i/>
          <w:sz w:val="21"/>
        </w:rPr>
        <w:t xml:space="preserve">et al </w:t>
      </w:r>
      <w:r>
        <w:rPr>
          <w:sz w:val="21"/>
        </w:rPr>
        <w:t xml:space="preserve">in their 2016 report </w:t>
      </w:r>
      <w:r>
        <w:rPr>
          <w:i/>
          <w:sz w:val="21"/>
        </w:rPr>
        <w:t>‘Country: multiple values, multiple benefits into the future; Research priorities for Indigenous Protected Areas across northern Australia</w:t>
      </w:r>
      <w:r>
        <w:rPr>
          <w:sz w:val="21"/>
        </w:rPr>
        <w:t>’.</w:t>
      </w:r>
    </w:p>
    <w:p w14:paraId="7773F7E8" w14:textId="77777777" w:rsidR="005A7F14" w:rsidRDefault="0031751E">
      <w:pPr>
        <w:pStyle w:val="ListParagraph"/>
        <w:numPr>
          <w:ilvl w:val="2"/>
          <w:numId w:val="6"/>
        </w:numPr>
        <w:tabs>
          <w:tab w:val="left" w:pos="860"/>
          <w:tab w:val="left" w:pos="861"/>
        </w:tabs>
        <w:spacing w:before="120"/>
        <w:ind w:hanging="361"/>
        <w:rPr>
          <w:sz w:val="21"/>
        </w:rPr>
      </w:pPr>
      <w:r>
        <w:rPr>
          <w:sz w:val="21"/>
        </w:rPr>
        <w:t xml:space="preserve">Knowledge brokering for Indigenous land management (this is a Hill </w:t>
      </w:r>
      <w:r>
        <w:rPr>
          <w:i/>
          <w:sz w:val="21"/>
        </w:rPr>
        <w:t xml:space="preserve">et al, </w:t>
      </w:r>
      <w:r>
        <w:rPr>
          <w:sz w:val="21"/>
        </w:rPr>
        <w:t>2016</w:t>
      </w:r>
      <w:r>
        <w:rPr>
          <w:spacing w:val="-17"/>
          <w:sz w:val="21"/>
        </w:rPr>
        <w:t xml:space="preserve"> </w:t>
      </w:r>
      <w:r>
        <w:rPr>
          <w:sz w:val="21"/>
        </w:rPr>
        <w:t>category):</w:t>
      </w:r>
    </w:p>
    <w:p w14:paraId="36FA7C43" w14:textId="77777777" w:rsidR="005A7F14" w:rsidRDefault="0031751E">
      <w:pPr>
        <w:pStyle w:val="ListParagraph"/>
        <w:numPr>
          <w:ilvl w:val="3"/>
          <w:numId w:val="6"/>
        </w:numPr>
        <w:tabs>
          <w:tab w:val="left" w:pos="1417"/>
          <w:tab w:val="left" w:pos="1418"/>
        </w:tabs>
        <w:spacing w:before="20"/>
        <w:ind w:hanging="361"/>
        <w:rPr>
          <w:sz w:val="21"/>
        </w:rPr>
      </w:pPr>
      <w:r>
        <w:rPr>
          <w:sz w:val="21"/>
        </w:rPr>
        <w:t>TEK must be regarded as specialist, technical expertise by</w:t>
      </w:r>
      <w:r>
        <w:rPr>
          <w:spacing w:val="-5"/>
          <w:sz w:val="21"/>
        </w:rPr>
        <w:t xml:space="preserve"> </w:t>
      </w:r>
      <w:r>
        <w:rPr>
          <w:sz w:val="21"/>
        </w:rPr>
        <w:t>researchers.</w:t>
      </w:r>
    </w:p>
    <w:p w14:paraId="427DEF48" w14:textId="77777777" w:rsidR="005A7F14" w:rsidRDefault="0031751E">
      <w:pPr>
        <w:pStyle w:val="ListParagraph"/>
        <w:numPr>
          <w:ilvl w:val="3"/>
          <w:numId w:val="6"/>
        </w:numPr>
        <w:tabs>
          <w:tab w:val="left" w:pos="1417"/>
          <w:tab w:val="left" w:pos="1418"/>
        </w:tabs>
        <w:spacing w:before="21"/>
        <w:ind w:hanging="361"/>
        <w:rPr>
          <w:sz w:val="21"/>
        </w:rPr>
      </w:pPr>
      <w:r>
        <w:rPr>
          <w:sz w:val="21"/>
        </w:rPr>
        <w:t>IPA management activities must be</w:t>
      </w:r>
      <w:r>
        <w:rPr>
          <w:spacing w:val="-7"/>
          <w:sz w:val="21"/>
        </w:rPr>
        <w:t xml:space="preserve"> </w:t>
      </w:r>
      <w:r>
        <w:rPr>
          <w:sz w:val="21"/>
        </w:rPr>
        <w:t>respected.</w:t>
      </w:r>
    </w:p>
    <w:p w14:paraId="745167EF" w14:textId="77777777" w:rsidR="005A7F14" w:rsidRDefault="0031751E">
      <w:pPr>
        <w:pStyle w:val="ListParagraph"/>
        <w:numPr>
          <w:ilvl w:val="3"/>
          <w:numId w:val="6"/>
        </w:numPr>
        <w:tabs>
          <w:tab w:val="left" w:pos="1417"/>
          <w:tab w:val="left" w:pos="1418"/>
        </w:tabs>
        <w:spacing w:before="21" w:line="256" w:lineRule="auto"/>
        <w:ind w:right="260"/>
        <w:rPr>
          <w:sz w:val="21"/>
        </w:rPr>
      </w:pPr>
      <w:r>
        <w:rPr>
          <w:sz w:val="21"/>
        </w:rPr>
        <w:t>The rating for the health of each target area is based on TO knowledge, the knowledge of TO partners and some surveys from scientists.</w:t>
      </w:r>
    </w:p>
    <w:p w14:paraId="720D204D" w14:textId="77777777" w:rsidR="005A7F14" w:rsidRDefault="0031751E">
      <w:pPr>
        <w:pStyle w:val="ListParagraph"/>
        <w:numPr>
          <w:ilvl w:val="3"/>
          <w:numId w:val="6"/>
        </w:numPr>
        <w:tabs>
          <w:tab w:val="left" w:pos="1417"/>
          <w:tab w:val="left" w:pos="1418"/>
        </w:tabs>
        <w:spacing w:before="2" w:line="256" w:lineRule="auto"/>
        <w:ind w:right="290"/>
        <w:rPr>
          <w:sz w:val="21"/>
        </w:rPr>
      </w:pPr>
      <w:r>
        <w:rPr>
          <w:sz w:val="21"/>
        </w:rPr>
        <w:t>Sustained involvement of TOs in on-ground land and sea assessments and formal research is essential.</w:t>
      </w:r>
    </w:p>
    <w:p w14:paraId="7C9D1A23" w14:textId="77777777" w:rsidR="005A7F14" w:rsidRDefault="0031751E">
      <w:pPr>
        <w:pStyle w:val="ListParagraph"/>
        <w:numPr>
          <w:ilvl w:val="3"/>
          <w:numId w:val="6"/>
        </w:numPr>
        <w:tabs>
          <w:tab w:val="left" w:pos="1417"/>
          <w:tab w:val="left" w:pos="1418"/>
        </w:tabs>
        <w:spacing w:before="2" w:line="256" w:lineRule="auto"/>
        <w:ind w:right="1032"/>
        <w:rPr>
          <w:sz w:val="21"/>
        </w:rPr>
      </w:pPr>
      <w:r>
        <w:rPr>
          <w:sz w:val="21"/>
        </w:rPr>
        <w:t>TO Rangers partner with research institutions and government agencies to improve knowledge of the natural resources in the</w:t>
      </w:r>
      <w:r>
        <w:rPr>
          <w:spacing w:val="-6"/>
          <w:sz w:val="21"/>
        </w:rPr>
        <w:t xml:space="preserve"> </w:t>
      </w:r>
      <w:r>
        <w:rPr>
          <w:sz w:val="21"/>
        </w:rPr>
        <w:t>IPAs.</w:t>
      </w:r>
    </w:p>
    <w:p w14:paraId="3200ADC5" w14:textId="77777777" w:rsidR="005A7F14" w:rsidRDefault="0031751E">
      <w:pPr>
        <w:pStyle w:val="ListParagraph"/>
        <w:numPr>
          <w:ilvl w:val="3"/>
          <w:numId w:val="6"/>
        </w:numPr>
        <w:tabs>
          <w:tab w:val="left" w:pos="1417"/>
          <w:tab w:val="left" w:pos="1418"/>
        </w:tabs>
        <w:spacing w:before="2"/>
        <w:ind w:hanging="361"/>
        <w:rPr>
          <w:sz w:val="21"/>
        </w:rPr>
      </w:pPr>
      <w:r>
        <w:rPr>
          <w:sz w:val="21"/>
        </w:rPr>
        <w:t>TOs’ traditional knowledge of the tides, currents and seas helps when looking for</w:t>
      </w:r>
      <w:r>
        <w:rPr>
          <w:spacing w:val="-21"/>
          <w:sz w:val="21"/>
        </w:rPr>
        <w:t xml:space="preserve"> </w:t>
      </w:r>
      <w:r>
        <w:rPr>
          <w:sz w:val="21"/>
        </w:rPr>
        <w:t>jigeedany</w:t>
      </w:r>
    </w:p>
    <w:p w14:paraId="5F173E8C" w14:textId="77777777" w:rsidR="005A7F14" w:rsidRDefault="0031751E">
      <w:pPr>
        <w:pStyle w:val="BodyText"/>
        <w:spacing w:before="19"/>
        <w:ind w:left="1417"/>
      </w:pPr>
      <w:r>
        <w:t>(Dolphins).</w:t>
      </w:r>
    </w:p>
    <w:p w14:paraId="19C774DA" w14:textId="77777777" w:rsidR="005A7F14" w:rsidRDefault="0031751E">
      <w:pPr>
        <w:pStyle w:val="ListParagraph"/>
        <w:numPr>
          <w:ilvl w:val="3"/>
          <w:numId w:val="6"/>
        </w:numPr>
        <w:tabs>
          <w:tab w:val="left" w:pos="1417"/>
          <w:tab w:val="left" w:pos="1418"/>
        </w:tabs>
        <w:spacing w:before="21" w:line="256" w:lineRule="auto"/>
        <w:ind w:right="357"/>
        <w:rPr>
          <w:sz w:val="21"/>
        </w:rPr>
      </w:pPr>
      <w:r>
        <w:rPr>
          <w:sz w:val="21"/>
        </w:rPr>
        <w:t xml:space="preserve">TOs must talk to the scientists to make sure TOs are getting things right. Many parts of TO’s traditional Country </w:t>
      </w:r>
      <w:proofErr w:type="gramStart"/>
      <w:r>
        <w:rPr>
          <w:sz w:val="21"/>
        </w:rPr>
        <w:t>hasn’t</w:t>
      </w:r>
      <w:proofErr w:type="gramEnd"/>
      <w:r>
        <w:rPr>
          <w:sz w:val="21"/>
        </w:rPr>
        <w:t xml:space="preserve"> been researched in great detail, so TOs rely a lot on traditional knowledge.</w:t>
      </w:r>
    </w:p>
    <w:p w14:paraId="13DA8991" w14:textId="77777777" w:rsidR="005A7F14" w:rsidRDefault="0031751E">
      <w:pPr>
        <w:pStyle w:val="ListParagraph"/>
        <w:numPr>
          <w:ilvl w:val="3"/>
          <w:numId w:val="6"/>
        </w:numPr>
        <w:tabs>
          <w:tab w:val="left" w:pos="1417"/>
          <w:tab w:val="left" w:pos="1418"/>
        </w:tabs>
        <w:spacing w:before="6" w:line="256" w:lineRule="auto"/>
        <w:ind w:right="173"/>
        <w:rPr>
          <w:sz w:val="21"/>
        </w:rPr>
      </w:pPr>
      <w:r>
        <w:rPr>
          <w:sz w:val="21"/>
        </w:rPr>
        <w:t>So far only small parts of TO Country have been properly surveyed and TOs need to make sure that research is done jointly with scientists to get a better understanding of the health of traditional</w:t>
      </w:r>
      <w:r>
        <w:rPr>
          <w:spacing w:val="-2"/>
          <w:sz w:val="21"/>
        </w:rPr>
        <w:t xml:space="preserve"> </w:t>
      </w:r>
      <w:r>
        <w:rPr>
          <w:sz w:val="21"/>
        </w:rPr>
        <w:t>Country.</w:t>
      </w:r>
    </w:p>
    <w:p w14:paraId="41DC4642" w14:textId="77777777" w:rsidR="005A7F14" w:rsidRDefault="0031751E">
      <w:pPr>
        <w:pStyle w:val="ListParagraph"/>
        <w:numPr>
          <w:ilvl w:val="2"/>
          <w:numId w:val="6"/>
        </w:numPr>
        <w:tabs>
          <w:tab w:val="left" w:pos="860"/>
          <w:tab w:val="left" w:pos="861"/>
        </w:tabs>
        <w:spacing w:before="3" w:line="259" w:lineRule="auto"/>
        <w:ind w:right="259"/>
        <w:rPr>
          <w:sz w:val="21"/>
        </w:rPr>
      </w:pPr>
      <w:r>
        <w:rPr>
          <w:sz w:val="21"/>
        </w:rPr>
        <w:t xml:space="preserve">Frameworks responsive to new impacts enabling Indigenous land managers (this is a Hill </w:t>
      </w:r>
      <w:r>
        <w:rPr>
          <w:i/>
          <w:sz w:val="21"/>
        </w:rPr>
        <w:t xml:space="preserve">et al, </w:t>
      </w:r>
      <w:r>
        <w:rPr>
          <w:sz w:val="21"/>
        </w:rPr>
        <w:t>2016 category):</w:t>
      </w:r>
    </w:p>
    <w:p w14:paraId="3A802FDD" w14:textId="77777777" w:rsidR="005A7F14" w:rsidRDefault="0031751E">
      <w:pPr>
        <w:pStyle w:val="ListParagraph"/>
        <w:numPr>
          <w:ilvl w:val="3"/>
          <w:numId w:val="6"/>
        </w:numPr>
        <w:tabs>
          <w:tab w:val="left" w:pos="1417"/>
          <w:tab w:val="left" w:pos="1418"/>
        </w:tabs>
        <w:spacing w:before="2" w:line="254" w:lineRule="auto"/>
        <w:ind w:right="201"/>
        <w:rPr>
          <w:sz w:val="21"/>
        </w:rPr>
      </w:pPr>
      <w:r>
        <w:rPr>
          <w:sz w:val="21"/>
        </w:rPr>
        <w:t>A balance must be maintained between TO and mainstream worlds and the active practice of two-way natural and cultural resource management is an important key guiding</w:t>
      </w:r>
      <w:r>
        <w:rPr>
          <w:spacing w:val="-17"/>
          <w:sz w:val="21"/>
        </w:rPr>
        <w:t xml:space="preserve"> </w:t>
      </w:r>
      <w:r>
        <w:rPr>
          <w:sz w:val="21"/>
        </w:rPr>
        <w:t>principle.</w:t>
      </w:r>
    </w:p>
    <w:p w14:paraId="62B8FB9D" w14:textId="77777777" w:rsidR="005A7F14" w:rsidRDefault="0031751E">
      <w:pPr>
        <w:pStyle w:val="ListParagraph"/>
        <w:numPr>
          <w:ilvl w:val="3"/>
          <w:numId w:val="6"/>
        </w:numPr>
        <w:tabs>
          <w:tab w:val="left" w:pos="1417"/>
          <w:tab w:val="left" w:pos="1418"/>
        </w:tabs>
        <w:spacing w:before="7" w:line="256" w:lineRule="auto"/>
        <w:ind w:right="384"/>
        <w:rPr>
          <w:sz w:val="21"/>
        </w:rPr>
      </w:pPr>
      <w:r>
        <w:rPr>
          <w:sz w:val="21"/>
        </w:rPr>
        <w:t>Some Indigenous knowledge is being eroded by the loss of older generations and the difficulty of transferring cultural and ecological knowledge when away from Country.</w:t>
      </w:r>
      <w:r>
        <w:rPr>
          <w:spacing w:val="-23"/>
          <w:sz w:val="21"/>
        </w:rPr>
        <w:t xml:space="preserve"> </w:t>
      </w:r>
      <w:r>
        <w:rPr>
          <w:sz w:val="21"/>
        </w:rPr>
        <w:t>These</w:t>
      </w:r>
    </w:p>
    <w:p w14:paraId="6D999711" w14:textId="77777777" w:rsidR="005A7F14" w:rsidRDefault="005A7F14">
      <w:pPr>
        <w:spacing w:line="256" w:lineRule="auto"/>
        <w:rPr>
          <w:sz w:val="21"/>
        </w:rPr>
        <w:sectPr w:rsidR="005A7F14">
          <w:pgSz w:w="11910" w:h="16840"/>
          <w:pgMar w:top="1380" w:right="1000" w:bottom="940" w:left="1420" w:header="0" w:footer="747" w:gutter="0"/>
          <w:cols w:space="720"/>
        </w:sectPr>
      </w:pPr>
    </w:p>
    <w:p w14:paraId="384549A2" w14:textId="77777777" w:rsidR="005A7F14" w:rsidRDefault="0031751E">
      <w:pPr>
        <w:pStyle w:val="BodyText"/>
        <w:spacing w:before="41" w:line="259" w:lineRule="auto"/>
        <w:ind w:left="1417" w:right="428"/>
      </w:pPr>
      <w:r>
        <w:lastRenderedPageBreak/>
        <w:t xml:space="preserve">negative impacts can be mitigated by undertaking good “two-way” research projects using both western and traditional </w:t>
      </w:r>
      <w:proofErr w:type="gramStart"/>
      <w:r>
        <w:t>knowledge, and</w:t>
      </w:r>
      <w:proofErr w:type="gramEnd"/>
      <w:r>
        <w:t xml:space="preserve"> building the skills and methods of both knowledge systems.</w:t>
      </w:r>
    </w:p>
    <w:p w14:paraId="55269967" w14:textId="77777777" w:rsidR="005A7F14" w:rsidRDefault="0031751E">
      <w:pPr>
        <w:pStyle w:val="ListParagraph"/>
        <w:numPr>
          <w:ilvl w:val="3"/>
          <w:numId w:val="6"/>
        </w:numPr>
        <w:tabs>
          <w:tab w:val="left" w:pos="1417"/>
          <w:tab w:val="left" w:pos="1418"/>
        </w:tabs>
        <w:spacing w:before="2" w:line="256" w:lineRule="auto"/>
        <w:ind w:right="874"/>
        <w:rPr>
          <w:sz w:val="21"/>
        </w:rPr>
      </w:pPr>
      <w:r>
        <w:rPr>
          <w:sz w:val="21"/>
        </w:rPr>
        <w:t>Integrate Indigenous Knowledge with scientific research to increase understanding of biodiversity values and natural</w:t>
      </w:r>
      <w:r>
        <w:rPr>
          <w:spacing w:val="-5"/>
          <w:sz w:val="21"/>
        </w:rPr>
        <w:t xml:space="preserve"> </w:t>
      </w:r>
      <w:r>
        <w:rPr>
          <w:sz w:val="21"/>
        </w:rPr>
        <w:t>systems.</w:t>
      </w:r>
    </w:p>
    <w:p w14:paraId="44D7DE2F" w14:textId="77777777" w:rsidR="005A7F14" w:rsidRDefault="0031751E">
      <w:pPr>
        <w:pStyle w:val="ListParagraph"/>
        <w:numPr>
          <w:ilvl w:val="3"/>
          <w:numId w:val="6"/>
        </w:numPr>
        <w:tabs>
          <w:tab w:val="left" w:pos="1417"/>
          <w:tab w:val="left" w:pos="1418"/>
        </w:tabs>
        <w:spacing w:before="1"/>
        <w:ind w:hanging="361"/>
        <w:rPr>
          <w:sz w:val="21"/>
        </w:rPr>
      </w:pPr>
      <w:r>
        <w:rPr>
          <w:sz w:val="21"/>
        </w:rPr>
        <w:t xml:space="preserve">Engage TOs, local Rangers </w:t>
      </w:r>
      <w:r>
        <w:rPr>
          <w:spacing w:val="-2"/>
          <w:sz w:val="21"/>
        </w:rPr>
        <w:t xml:space="preserve">and </w:t>
      </w:r>
      <w:r>
        <w:rPr>
          <w:sz w:val="21"/>
        </w:rPr>
        <w:t>researchers in “two-way” research in pest animal and</w:t>
      </w:r>
      <w:r>
        <w:rPr>
          <w:spacing w:val="-9"/>
          <w:sz w:val="21"/>
        </w:rPr>
        <w:t xml:space="preserve"> </w:t>
      </w:r>
      <w:r>
        <w:rPr>
          <w:sz w:val="21"/>
        </w:rPr>
        <w:t>plant</w:t>
      </w:r>
    </w:p>
    <w:p w14:paraId="28737BC8" w14:textId="77777777" w:rsidR="005A7F14" w:rsidRDefault="0031751E">
      <w:pPr>
        <w:pStyle w:val="BodyText"/>
        <w:spacing w:before="20"/>
        <w:ind w:left="1417"/>
      </w:pPr>
      <w:r>
        <w:t>species and removal or reduction actions.</w:t>
      </w:r>
    </w:p>
    <w:p w14:paraId="71605ECD" w14:textId="77777777" w:rsidR="005A7F14" w:rsidRDefault="0031751E">
      <w:pPr>
        <w:pStyle w:val="ListParagraph"/>
        <w:numPr>
          <w:ilvl w:val="3"/>
          <w:numId w:val="6"/>
        </w:numPr>
        <w:tabs>
          <w:tab w:val="left" w:pos="1417"/>
          <w:tab w:val="left" w:pos="1418"/>
        </w:tabs>
        <w:spacing w:before="21" w:line="256" w:lineRule="auto"/>
        <w:ind w:right="417"/>
        <w:rPr>
          <w:sz w:val="21"/>
        </w:rPr>
      </w:pPr>
      <w:r>
        <w:rPr>
          <w:sz w:val="21"/>
        </w:rPr>
        <w:t xml:space="preserve">Engage researchers in collaborative research projects </w:t>
      </w:r>
      <w:proofErr w:type="gramStart"/>
      <w:r>
        <w:rPr>
          <w:sz w:val="21"/>
        </w:rPr>
        <w:t>in order to</w:t>
      </w:r>
      <w:proofErr w:type="gramEnd"/>
      <w:r>
        <w:rPr>
          <w:sz w:val="21"/>
        </w:rPr>
        <w:t xml:space="preserve"> further the recognition of Indigenous governance and land and resource management</w:t>
      </w:r>
      <w:r>
        <w:rPr>
          <w:spacing w:val="-1"/>
          <w:sz w:val="21"/>
        </w:rPr>
        <w:t xml:space="preserve"> </w:t>
      </w:r>
      <w:r>
        <w:rPr>
          <w:sz w:val="21"/>
        </w:rPr>
        <w:t>practices.</w:t>
      </w:r>
    </w:p>
    <w:p w14:paraId="1921D2B0" w14:textId="77777777" w:rsidR="005A7F14" w:rsidRDefault="0031751E">
      <w:pPr>
        <w:pStyle w:val="ListParagraph"/>
        <w:numPr>
          <w:ilvl w:val="3"/>
          <w:numId w:val="6"/>
        </w:numPr>
        <w:tabs>
          <w:tab w:val="left" w:pos="1417"/>
          <w:tab w:val="left" w:pos="1418"/>
        </w:tabs>
        <w:spacing w:before="1" w:line="259" w:lineRule="auto"/>
        <w:ind w:right="234"/>
        <w:rPr>
          <w:sz w:val="21"/>
        </w:rPr>
      </w:pPr>
      <w:r>
        <w:rPr>
          <w:sz w:val="21"/>
        </w:rPr>
        <w:t xml:space="preserve">TOs continue to seek and develop research collaborations and partnerships </w:t>
      </w:r>
      <w:proofErr w:type="gramStart"/>
      <w:r>
        <w:rPr>
          <w:sz w:val="21"/>
        </w:rPr>
        <w:t>in order to</w:t>
      </w:r>
      <w:proofErr w:type="gramEnd"/>
      <w:r>
        <w:rPr>
          <w:sz w:val="21"/>
        </w:rPr>
        <w:t xml:space="preserve"> prioritise areas of management concern and TO input into the process. The objectives are to promote and develop research projects and partnerships of equal benefit to the TO community and to others, and to promote and support two-way learning opportunities and further development of contemporary skills for the TOs that can be applied at a regional scale.</w:t>
      </w:r>
    </w:p>
    <w:p w14:paraId="419C7949" w14:textId="77777777" w:rsidR="005A7F14" w:rsidRDefault="0031751E">
      <w:pPr>
        <w:pStyle w:val="ListParagraph"/>
        <w:numPr>
          <w:ilvl w:val="3"/>
          <w:numId w:val="6"/>
        </w:numPr>
        <w:tabs>
          <w:tab w:val="left" w:pos="1417"/>
          <w:tab w:val="left" w:pos="1418"/>
        </w:tabs>
        <w:spacing w:line="256" w:lineRule="auto"/>
        <w:ind w:right="336"/>
        <w:rPr>
          <w:sz w:val="21"/>
        </w:rPr>
      </w:pPr>
      <w:r>
        <w:rPr>
          <w:sz w:val="21"/>
        </w:rPr>
        <w:t>Some TO groups have actively brokered and facilitated equitable relationships between TOs and external researchers to promote and support culturally assured and ecologically sustainable research on</w:t>
      </w:r>
      <w:r>
        <w:rPr>
          <w:spacing w:val="3"/>
          <w:sz w:val="21"/>
        </w:rPr>
        <w:t xml:space="preserve"> </w:t>
      </w:r>
      <w:r>
        <w:rPr>
          <w:sz w:val="21"/>
        </w:rPr>
        <w:t>Country.</w:t>
      </w:r>
    </w:p>
    <w:p w14:paraId="2AE5CD12" w14:textId="77777777" w:rsidR="005A7F14" w:rsidRDefault="0031751E">
      <w:pPr>
        <w:pStyle w:val="ListParagraph"/>
        <w:numPr>
          <w:ilvl w:val="3"/>
          <w:numId w:val="6"/>
        </w:numPr>
        <w:tabs>
          <w:tab w:val="left" w:pos="1417"/>
          <w:tab w:val="left" w:pos="1418"/>
        </w:tabs>
        <w:spacing w:before="2" w:line="256" w:lineRule="auto"/>
        <w:ind w:right="255"/>
        <w:rPr>
          <w:sz w:val="21"/>
        </w:rPr>
      </w:pPr>
      <w:r>
        <w:rPr>
          <w:sz w:val="21"/>
        </w:rPr>
        <w:t>In the past, TO Rangers worked with western scientists who were studying dolphins, and TOs would like to be more involved with researchers in joint projects that are meaningful to the TOs as</w:t>
      </w:r>
      <w:r>
        <w:rPr>
          <w:spacing w:val="-3"/>
          <w:sz w:val="21"/>
        </w:rPr>
        <w:t xml:space="preserve"> </w:t>
      </w:r>
      <w:r>
        <w:rPr>
          <w:sz w:val="21"/>
        </w:rPr>
        <w:t>well.</w:t>
      </w:r>
    </w:p>
    <w:p w14:paraId="4CF9066D" w14:textId="77777777" w:rsidR="005A7F14" w:rsidRDefault="0031751E">
      <w:pPr>
        <w:pStyle w:val="BodyText"/>
        <w:spacing w:before="123"/>
      </w:pPr>
      <w:r>
        <w:t>Other matters can be aligned under the following headings:</w:t>
      </w:r>
    </w:p>
    <w:p w14:paraId="08786A1A" w14:textId="77777777" w:rsidR="005A7F14" w:rsidRDefault="0031751E">
      <w:pPr>
        <w:pStyle w:val="ListParagraph"/>
        <w:numPr>
          <w:ilvl w:val="2"/>
          <w:numId w:val="6"/>
        </w:numPr>
        <w:tabs>
          <w:tab w:val="left" w:pos="860"/>
          <w:tab w:val="left" w:pos="861"/>
        </w:tabs>
        <w:spacing w:before="140"/>
        <w:ind w:hanging="361"/>
        <w:rPr>
          <w:sz w:val="21"/>
        </w:rPr>
      </w:pPr>
      <w:r>
        <w:rPr>
          <w:sz w:val="21"/>
        </w:rPr>
        <w:t>IPA specific</w:t>
      </w:r>
      <w:r>
        <w:rPr>
          <w:spacing w:val="-1"/>
          <w:sz w:val="21"/>
        </w:rPr>
        <w:t xml:space="preserve"> </w:t>
      </w:r>
      <w:r>
        <w:rPr>
          <w:sz w:val="21"/>
        </w:rPr>
        <w:t>environments:</w:t>
      </w:r>
    </w:p>
    <w:p w14:paraId="0E8B2D82" w14:textId="77777777" w:rsidR="005A7F14" w:rsidRDefault="0031751E">
      <w:pPr>
        <w:pStyle w:val="ListParagraph"/>
        <w:numPr>
          <w:ilvl w:val="3"/>
          <w:numId w:val="6"/>
        </w:numPr>
        <w:tabs>
          <w:tab w:val="left" w:pos="1417"/>
          <w:tab w:val="left" w:pos="1418"/>
        </w:tabs>
        <w:spacing w:before="23"/>
        <w:ind w:hanging="361"/>
        <w:rPr>
          <w:sz w:val="21"/>
        </w:rPr>
      </w:pPr>
      <w:r>
        <w:rPr>
          <w:sz w:val="21"/>
        </w:rPr>
        <w:t>Species on IPA lands must be respected and</w:t>
      </w:r>
      <w:r>
        <w:rPr>
          <w:spacing w:val="-10"/>
          <w:sz w:val="21"/>
        </w:rPr>
        <w:t xml:space="preserve"> </w:t>
      </w:r>
      <w:r>
        <w:rPr>
          <w:sz w:val="21"/>
        </w:rPr>
        <w:t>valued.</w:t>
      </w:r>
    </w:p>
    <w:p w14:paraId="0C5D8156" w14:textId="77777777" w:rsidR="005A7F14" w:rsidRDefault="0031751E">
      <w:pPr>
        <w:pStyle w:val="ListParagraph"/>
        <w:numPr>
          <w:ilvl w:val="3"/>
          <w:numId w:val="6"/>
        </w:numPr>
        <w:tabs>
          <w:tab w:val="left" w:pos="1417"/>
          <w:tab w:val="left" w:pos="1418"/>
        </w:tabs>
        <w:spacing w:before="18"/>
        <w:ind w:hanging="361"/>
        <w:rPr>
          <w:sz w:val="21"/>
        </w:rPr>
      </w:pPr>
      <w:r>
        <w:rPr>
          <w:sz w:val="21"/>
        </w:rPr>
        <w:t>Raise awareness of the IPA’s regional</w:t>
      </w:r>
      <w:r>
        <w:rPr>
          <w:spacing w:val="-7"/>
          <w:sz w:val="21"/>
        </w:rPr>
        <w:t xml:space="preserve"> </w:t>
      </w:r>
      <w:r>
        <w:rPr>
          <w:sz w:val="21"/>
        </w:rPr>
        <w:t>significance.</w:t>
      </w:r>
    </w:p>
    <w:p w14:paraId="7A37810D" w14:textId="77777777" w:rsidR="005A7F14" w:rsidRDefault="0031751E">
      <w:pPr>
        <w:pStyle w:val="ListParagraph"/>
        <w:numPr>
          <w:ilvl w:val="2"/>
          <w:numId w:val="6"/>
        </w:numPr>
        <w:tabs>
          <w:tab w:val="left" w:pos="860"/>
          <w:tab w:val="left" w:pos="861"/>
        </w:tabs>
        <w:spacing w:before="19"/>
        <w:ind w:hanging="361"/>
        <w:rPr>
          <w:sz w:val="21"/>
        </w:rPr>
      </w:pPr>
      <w:r>
        <w:rPr>
          <w:sz w:val="21"/>
        </w:rPr>
        <w:t>Intellectual property</w:t>
      </w:r>
      <w:r>
        <w:rPr>
          <w:spacing w:val="-2"/>
          <w:sz w:val="21"/>
        </w:rPr>
        <w:t xml:space="preserve"> </w:t>
      </w:r>
      <w:r>
        <w:rPr>
          <w:sz w:val="21"/>
        </w:rPr>
        <w:t>issues:</w:t>
      </w:r>
    </w:p>
    <w:p w14:paraId="3E5ED47F" w14:textId="77777777" w:rsidR="005A7F14" w:rsidRDefault="0031751E">
      <w:pPr>
        <w:pStyle w:val="ListParagraph"/>
        <w:numPr>
          <w:ilvl w:val="3"/>
          <w:numId w:val="6"/>
        </w:numPr>
        <w:tabs>
          <w:tab w:val="left" w:pos="1417"/>
          <w:tab w:val="left" w:pos="1418"/>
        </w:tabs>
        <w:spacing w:before="23"/>
        <w:ind w:hanging="361"/>
        <w:rPr>
          <w:sz w:val="21"/>
        </w:rPr>
      </w:pPr>
      <w:r>
        <w:rPr>
          <w:sz w:val="21"/>
        </w:rPr>
        <w:t>Scientific research findings from TO’s Country are rarely made available to</w:t>
      </w:r>
      <w:r>
        <w:rPr>
          <w:spacing w:val="-9"/>
          <w:sz w:val="21"/>
        </w:rPr>
        <w:t xml:space="preserve"> </w:t>
      </w:r>
      <w:r>
        <w:rPr>
          <w:sz w:val="21"/>
        </w:rPr>
        <w:t>TOs.</w:t>
      </w:r>
    </w:p>
    <w:p w14:paraId="570AE0E1" w14:textId="77777777" w:rsidR="005A7F14" w:rsidRDefault="0031751E">
      <w:pPr>
        <w:pStyle w:val="ListParagraph"/>
        <w:numPr>
          <w:ilvl w:val="3"/>
          <w:numId w:val="6"/>
        </w:numPr>
        <w:tabs>
          <w:tab w:val="left" w:pos="1417"/>
          <w:tab w:val="left" w:pos="1418"/>
        </w:tabs>
        <w:spacing w:before="19"/>
        <w:ind w:hanging="361"/>
        <w:rPr>
          <w:sz w:val="21"/>
        </w:rPr>
      </w:pPr>
      <w:r>
        <w:rPr>
          <w:sz w:val="21"/>
        </w:rPr>
        <w:t>TO’s intellectual property has been taken without permission, and without</w:t>
      </w:r>
      <w:r>
        <w:rPr>
          <w:spacing w:val="-17"/>
          <w:sz w:val="21"/>
        </w:rPr>
        <w:t xml:space="preserve"> </w:t>
      </w:r>
      <w:r>
        <w:rPr>
          <w:sz w:val="21"/>
        </w:rPr>
        <w:t>payment.</w:t>
      </w:r>
    </w:p>
    <w:p w14:paraId="57620249" w14:textId="77777777" w:rsidR="005A7F14" w:rsidRDefault="0031751E">
      <w:pPr>
        <w:pStyle w:val="ListParagraph"/>
        <w:numPr>
          <w:ilvl w:val="3"/>
          <w:numId w:val="6"/>
        </w:numPr>
        <w:tabs>
          <w:tab w:val="left" w:pos="1417"/>
          <w:tab w:val="left" w:pos="1418"/>
        </w:tabs>
        <w:spacing w:before="21" w:line="256" w:lineRule="auto"/>
        <w:ind w:right="293"/>
        <w:rPr>
          <w:sz w:val="21"/>
        </w:rPr>
      </w:pPr>
      <w:r>
        <w:rPr>
          <w:sz w:val="21"/>
        </w:rPr>
        <w:t>TOs have shown researchers where to find what they are looking for, but TOs have not been acknowledged as the knowledge holders or given in return the results of the scientists’ studies (which have helped their academic</w:t>
      </w:r>
      <w:r>
        <w:rPr>
          <w:spacing w:val="-5"/>
          <w:sz w:val="21"/>
        </w:rPr>
        <w:t xml:space="preserve"> </w:t>
      </w:r>
      <w:r>
        <w:rPr>
          <w:sz w:val="21"/>
        </w:rPr>
        <w:t>careers).</w:t>
      </w:r>
    </w:p>
    <w:p w14:paraId="65FE8F99" w14:textId="77777777" w:rsidR="005A7F14" w:rsidRDefault="0031751E">
      <w:pPr>
        <w:pStyle w:val="ListParagraph"/>
        <w:numPr>
          <w:ilvl w:val="3"/>
          <w:numId w:val="6"/>
        </w:numPr>
        <w:tabs>
          <w:tab w:val="left" w:pos="1417"/>
          <w:tab w:val="left" w:pos="1418"/>
        </w:tabs>
        <w:spacing w:before="6" w:line="256" w:lineRule="auto"/>
        <w:ind w:right="170"/>
        <w:rPr>
          <w:sz w:val="21"/>
        </w:rPr>
      </w:pPr>
      <w:r>
        <w:rPr>
          <w:sz w:val="21"/>
        </w:rPr>
        <w:t>In some cases, TOs have given researchers and film crews information (such as stories), which the researchers have changed and published with wrong</w:t>
      </w:r>
      <w:r>
        <w:rPr>
          <w:spacing w:val="-5"/>
          <w:sz w:val="21"/>
        </w:rPr>
        <w:t xml:space="preserve"> </w:t>
      </w:r>
      <w:r>
        <w:rPr>
          <w:sz w:val="21"/>
        </w:rPr>
        <w:t>information</w:t>
      </w:r>
    </w:p>
    <w:p w14:paraId="71D7BBB1" w14:textId="77777777" w:rsidR="005A7F14" w:rsidRDefault="0031751E">
      <w:pPr>
        <w:pStyle w:val="ListParagraph"/>
        <w:numPr>
          <w:ilvl w:val="3"/>
          <w:numId w:val="6"/>
        </w:numPr>
        <w:tabs>
          <w:tab w:val="left" w:pos="1417"/>
          <w:tab w:val="left" w:pos="1418"/>
        </w:tabs>
        <w:spacing w:before="1" w:line="256" w:lineRule="auto"/>
        <w:ind w:right="562"/>
        <w:rPr>
          <w:sz w:val="21"/>
        </w:rPr>
      </w:pPr>
      <w:r>
        <w:rPr>
          <w:sz w:val="21"/>
        </w:rPr>
        <w:t>There is a strong moral and ethical position about the right to be consulted about marine research on Traditional Country (land and</w:t>
      </w:r>
      <w:r>
        <w:rPr>
          <w:spacing w:val="-3"/>
          <w:sz w:val="21"/>
        </w:rPr>
        <w:t xml:space="preserve"> </w:t>
      </w:r>
      <w:r>
        <w:rPr>
          <w:sz w:val="21"/>
        </w:rPr>
        <w:t>marine).</w:t>
      </w:r>
    </w:p>
    <w:p w14:paraId="7C4870B4" w14:textId="77777777" w:rsidR="005A7F14" w:rsidRDefault="0031751E">
      <w:pPr>
        <w:pStyle w:val="ListParagraph"/>
        <w:numPr>
          <w:ilvl w:val="3"/>
          <w:numId w:val="6"/>
        </w:numPr>
        <w:tabs>
          <w:tab w:val="left" w:pos="1417"/>
          <w:tab w:val="left" w:pos="1418"/>
        </w:tabs>
        <w:spacing w:before="2" w:line="256" w:lineRule="auto"/>
        <w:ind w:right="304"/>
        <w:rPr>
          <w:sz w:val="21"/>
        </w:rPr>
      </w:pPr>
      <w:r>
        <w:rPr>
          <w:sz w:val="21"/>
        </w:rPr>
        <w:t>Surveying and mapping of Aboriginal cultural sites and stories; consider and use information from cultural mapping projects initiated by TOs to protect Aboriginal and cultural and heritage values.</w:t>
      </w:r>
    </w:p>
    <w:p w14:paraId="0218AFE4" w14:textId="77777777" w:rsidR="005A7F14" w:rsidRDefault="0031751E">
      <w:pPr>
        <w:pStyle w:val="ListParagraph"/>
        <w:numPr>
          <w:ilvl w:val="2"/>
          <w:numId w:val="6"/>
        </w:numPr>
        <w:tabs>
          <w:tab w:val="left" w:pos="860"/>
          <w:tab w:val="left" w:pos="861"/>
        </w:tabs>
        <w:spacing w:before="3"/>
        <w:ind w:hanging="361"/>
        <w:rPr>
          <w:sz w:val="21"/>
        </w:rPr>
      </w:pPr>
      <w:r>
        <w:rPr>
          <w:sz w:val="21"/>
        </w:rPr>
        <w:t>Obligations to</w:t>
      </w:r>
      <w:r>
        <w:rPr>
          <w:spacing w:val="-6"/>
          <w:sz w:val="21"/>
        </w:rPr>
        <w:t xml:space="preserve"> </w:t>
      </w:r>
      <w:r>
        <w:rPr>
          <w:sz w:val="21"/>
        </w:rPr>
        <w:t>County:</w:t>
      </w:r>
    </w:p>
    <w:p w14:paraId="0820731B" w14:textId="77777777" w:rsidR="005A7F14" w:rsidRDefault="0031751E">
      <w:pPr>
        <w:pStyle w:val="ListParagraph"/>
        <w:numPr>
          <w:ilvl w:val="3"/>
          <w:numId w:val="6"/>
        </w:numPr>
        <w:tabs>
          <w:tab w:val="left" w:pos="1417"/>
          <w:tab w:val="left" w:pos="1418"/>
        </w:tabs>
        <w:spacing w:before="23" w:line="256" w:lineRule="auto"/>
        <w:ind w:right="373"/>
        <w:rPr>
          <w:sz w:val="21"/>
        </w:rPr>
      </w:pPr>
      <w:r>
        <w:rPr>
          <w:sz w:val="21"/>
        </w:rPr>
        <w:t>It is a cultural obligation to ensure that wetlands on traditional Country remain healthy into the future.</w:t>
      </w:r>
    </w:p>
    <w:p w14:paraId="5FEC8BE8" w14:textId="77777777" w:rsidR="005A7F14" w:rsidRDefault="0031751E">
      <w:pPr>
        <w:pStyle w:val="ListParagraph"/>
        <w:numPr>
          <w:ilvl w:val="3"/>
          <w:numId w:val="6"/>
        </w:numPr>
        <w:tabs>
          <w:tab w:val="left" w:pos="1417"/>
          <w:tab w:val="left" w:pos="1418"/>
        </w:tabs>
        <w:spacing w:before="2" w:line="256" w:lineRule="auto"/>
        <w:ind w:right="224"/>
        <w:rPr>
          <w:sz w:val="21"/>
        </w:rPr>
      </w:pPr>
      <w:r>
        <w:rPr>
          <w:sz w:val="21"/>
        </w:rPr>
        <w:t>TOs want to look after the native animals and plants on land and in the sea according to their own traditional knowledge and western scientific</w:t>
      </w:r>
      <w:r>
        <w:rPr>
          <w:spacing w:val="-5"/>
          <w:sz w:val="21"/>
        </w:rPr>
        <w:t xml:space="preserve"> </w:t>
      </w:r>
      <w:r>
        <w:rPr>
          <w:sz w:val="21"/>
        </w:rPr>
        <w:t>research.</w:t>
      </w:r>
    </w:p>
    <w:p w14:paraId="10C01D7D" w14:textId="77777777" w:rsidR="005A7F14" w:rsidRDefault="0031751E">
      <w:pPr>
        <w:pStyle w:val="ListParagraph"/>
        <w:numPr>
          <w:ilvl w:val="3"/>
          <w:numId w:val="6"/>
        </w:numPr>
        <w:tabs>
          <w:tab w:val="left" w:pos="1417"/>
          <w:tab w:val="left" w:pos="1418"/>
        </w:tabs>
        <w:spacing w:before="2" w:line="256" w:lineRule="auto"/>
        <w:ind w:right="285"/>
        <w:rPr>
          <w:sz w:val="21"/>
        </w:rPr>
      </w:pPr>
      <w:r>
        <w:rPr>
          <w:sz w:val="21"/>
        </w:rPr>
        <w:t>We want to work on our Country. Rangers can work on looking after Country and learning both ways. We want to learn from each other, and from scientists and researchers. We have lots of knowledge to share with them and they have lots to share with</w:t>
      </w:r>
      <w:r>
        <w:rPr>
          <w:spacing w:val="-13"/>
          <w:sz w:val="21"/>
        </w:rPr>
        <w:t xml:space="preserve"> </w:t>
      </w:r>
      <w:r>
        <w:rPr>
          <w:sz w:val="21"/>
        </w:rPr>
        <w:t>us.</w:t>
      </w:r>
    </w:p>
    <w:p w14:paraId="35380347" w14:textId="77777777" w:rsidR="005A7F14" w:rsidRDefault="005A7F14">
      <w:pPr>
        <w:spacing w:line="256" w:lineRule="auto"/>
        <w:rPr>
          <w:sz w:val="21"/>
        </w:rPr>
        <w:sectPr w:rsidR="005A7F14">
          <w:pgSz w:w="11910" w:h="16840"/>
          <w:pgMar w:top="1360" w:right="1000" w:bottom="940" w:left="1420" w:header="0" w:footer="747" w:gutter="0"/>
          <w:cols w:space="720"/>
        </w:sectPr>
      </w:pPr>
    </w:p>
    <w:p w14:paraId="40E27D7B" w14:textId="77777777" w:rsidR="005A7F14" w:rsidRDefault="0031751E">
      <w:pPr>
        <w:pStyle w:val="ListParagraph"/>
        <w:numPr>
          <w:ilvl w:val="3"/>
          <w:numId w:val="6"/>
        </w:numPr>
        <w:tabs>
          <w:tab w:val="left" w:pos="1417"/>
          <w:tab w:val="left" w:pos="1418"/>
        </w:tabs>
        <w:spacing w:before="82" w:line="256" w:lineRule="auto"/>
        <w:ind w:right="431"/>
        <w:rPr>
          <w:sz w:val="21"/>
        </w:rPr>
      </w:pPr>
      <w:r>
        <w:rPr>
          <w:sz w:val="21"/>
        </w:rPr>
        <w:lastRenderedPageBreak/>
        <w:t xml:space="preserve">IPA Rangers want to be trained up as scientists so that they </w:t>
      </w:r>
      <w:r>
        <w:rPr>
          <w:spacing w:val="-2"/>
          <w:sz w:val="21"/>
        </w:rPr>
        <w:t xml:space="preserve">can </w:t>
      </w:r>
      <w:r>
        <w:rPr>
          <w:sz w:val="21"/>
        </w:rPr>
        <w:t>monitor water quality. TOs want to learn more about how to protect wetlands and undertake research together with scientists.</w:t>
      </w:r>
    </w:p>
    <w:p w14:paraId="4BF4A47C" w14:textId="77777777" w:rsidR="005A7F14" w:rsidRDefault="0031751E">
      <w:pPr>
        <w:pStyle w:val="ListParagraph"/>
        <w:numPr>
          <w:ilvl w:val="2"/>
          <w:numId w:val="6"/>
        </w:numPr>
        <w:tabs>
          <w:tab w:val="left" w:pos="860"/>
          <w:tab w:val="left" w:pos="861"/>
        </w:tabs>
        <w:spacing w:before="3"/>
        <w:ind w:hanging="361"/>
        <w:rPr>
          <w:sz w:val="21"/>
        </w:rPr>
      </w:pPr>
      <w:r>
        <w:rPr>
          <w:sz w:val="21"/>
        </w:rPr>
        <w:t>Research</w:t>
      </w:r>
      <w:r>
        <w:rPr>
          <w:spacing w:val="-2"/>
          <w:sz w:val="21"/>
        </w:rPr>
        <w:t xml:space="preserve"> </w:t>
      </w:r>
      <w:r>
        <w:rPr>
          <w:sz w:val="21"/>
        </w:rPr>
        <w:t>policies:</w:t>
      </w:r>
    </w:p>
    <w:p w14:paraId="035709DC" w14:textId="77777777" w:rsidR="005A7F14" w:rsidRDefault="0031751E">
      <w:pPr>
        <w:pStyle w:val="ListParagraph"/>
        <w:numPr>
          <w:ilvl w:val="3"/>
          <w:numId w:val="6"/>
        </w:numPr>
        <w:tabs>
          <w:tab w:val="left" w:pos="1417"/>
          <w:tab w:val="left" w:pos="1418"/>
        </w:tabs>
        <w:spacing w:before="23"/>
        <w:ind w:hanging="361"/>
        <w:rPr>
          <w:sz w:val="21"/>
        </w:rPr>
      </w:pPr>
      <w:r>
        <w:rPr>
          <w:sz w:val="21"/>
        </w:rPr>
        <w:t>Traditional laws dictate appropriate activities and locations for research</w:t>
      </w:r>
      <w:r>
        <w:rPr>
          <w:spacing w:val="-3"/>
          <w:sz w:val="21"/>
        </w:rPr>
        <w:t xml:space="preserve"> </w:t>
      </w:r>
      <w:proofErr w:type="gramStart"/>
      <w:r>
        <w:rPr>
          <w:sz w:val="21"/>
        </w:rPr>
        <w:t>projects;</w:t>
      </w:r>
      <w:proofErr w:type="gramEnd"/>
    </w:p>
    <w:p w14:paraId="3D21E41C" w14:textId="77777777" w:rsidR="005A7F14" w:rsidRDefault="0031751E">
      <w:pPr>
        <w:pStyle w:val="ListParagraph"/>
        <w:numPr>
          <w:ilvl w:val="3"/>
          <w:numId w:val="6"/>
        </w:numPr>
        <w:tabs>
          <w:tab w:val="left" w:pos="1417"/>
          <w:tab w:val="left" w:pos="1418"/>
        </w:tabs>
        <w:spacing w:before="18" w:line="256" w:lineRule="auto"/>
        <w:ind w:right="143"/>
        <w:rPr>
          <w:sz w:val="21"/>
        </w:rPr>
      </w:pPr>
      <w:r>
        <w:rPr>
          <w:sz w:val="21"/>
        </w:rPr>
        <w:t xml:space="preserve">TOs must make sure that </w:t>
      </w:r>
      <w:r>
        <w:rPr>
          <w:spacing w:val="-2"/>
          <w:sz w:val="21"/>
        </w:rPr>
        <w:t xml:space="preserve">any </w:t>
      </w:r>
      <w:r>
        <w:rPr>
          <w:sz w:val="21"/>
        </w:rPr>
        <w:t>research on Country helps TOs to achieve everything in their IPA management</w:t>
      </w:r>
      <w:r>
        <w:rPr>
          <w:spacing w:val="-2"/>
          <w:sz w:val="21"/>
        </w:rPr>
        <w:t xml:space="preserve"> </w:t>
      </w:r>
      <w:proofErr w:type="gramStart"/>
      <w:r>
        <w:rPr>
          <w:sz w:val="21"/>
        </w:rPr>
        <w:t>plan;</w:t>
      </w:r>
      <w:proofErr w:type="gramEnd"/>
    </w:p>
    <w:p w14:paraId="5838DFEF" w14:textId="77777777" w:rsidR="005A7F14" w:rsidRDefault="0031751E">
      <w:pPr>
        <w:pStyle w:val="ListParagraph"/>
        <w:numPr>
          <w:ilvl w:val="3"/>
          <w:numId w:val="6"/>
        </w:numPr>
        <w:tabs>
          <w:tab w:val="left" w:pos="1417"/>
          <w:tab w:val="left" w:pos="1418"/>
        </w:tabs>
        <w:spacing w:before="5" w:line="254" w:lineRule="auto"/>
        <w:ind w:right="474"/>
        <w:rPr>
          <w:sz w:val="21"/>
        </w:rPr>
      </w:pPr>
      <w:r>
        <w:rPr>
          <w:sz w:val="21"/>
        </w:rPr>
        <w:t>Undertake research through partnerships that respect cultural protocols and use two-way learning and research; and</w:t>
      </w:r>
    </w:p>
    <w:p w14:paraId="18F3C4E5" w14:textId="77777777" w:rsidR="005A7F14" w:rsidRDefault="0031751E">
      <w:pPr>
        <w:pStyle w:val="ListParagraph"/>
        <w:numPr>
          <w:ilvl w:val="3"/>
          <w:numId w:val="6"/>
        </w:numPr>
        <w:tabs>
          <w:tab w:val="left" w:pos="1417"/>
          <w:tab w:val="left" w:pos="1418"/>
        </w:tabs>
        <w:spacing w:before="7" w:line="256" w:lineRule="auto"/>
        <w:ind w:right="531"/>
        <w:rPr>
          <w:sz w:val="21"/>
        </w:rPr>
      </w:pPr>
      <w:r>
        <w:rPr>
          <w:sz w:val="21"/>
        </w:rPr>
        <w:t>Research policies promote collaborative research that responds to questions of the wider Australian community as much as to research priorities of the TO</w:t>
      </w:r>
      <w:r>
        <w:rPr>
          <w:spacing w:val="-14"/>
          <w:sz w:val="21"/>
        </w:rPr>
        <w:t xml:space="preserve"> </w:t>
      </w:r>
      <w:r>
        <w:rPr>
          <w:sz w:val="21"/>
        </w:rPr>
        <w:t>community.</w:t>
      </w:r>
    </w:p>
    <w:p w14:paraId="5AD53C56" w14:textId="77777777" w:rsidR="005A7F14" w:rsidRDefault="0031751E">
      <w:pPr>
        <w:spacing w:before="121" w:line="259" w:lineRule="auto"/>
        <w:ind w:left="140" w:right="141"/>
        <w:rPr>
          <w:sz w:val="21"/>
        </w:rPr>
      </w:pPr>
      <w:r>
        <w:rPr>
          <w:sz w:val="21"/>
        </w:rPr>
        <w:t xml:space="preserve">Many of the issues raised above about the use of Indigenous knowledge in scientific research and caring for Country are also discussed in the </w:t>
      </w:r>
      <w:r>
        <w:rPr>
          <w:i/>
          <w:sz w:val="21"/>
        </w:rPr>
        <w:t xml:space="preserve">‘Our Knowledge Our Way in Caring for Country’ </w:t>
      </w:r>
      <w:r>
        <w:rPr>
          <w:sz w:val="21"/>
        </w:rPr>
        <w:t xml:space="preserve">report (NAER Project 5.4) (Woodward </w:t>
      </w:r>
      <w:r>
        <w:rPr>
          <w:i/>
          <w:sz w:val="21"/>
        </w:rPr>
        <w:t xml:space="preserve">et al </w:t>
      </w:r>
      <w:r>
        <w:rPr>
          <w:sz w:val="21"/>
        </w:rPr>
        <w:t xml:space="preserve">2020). The preparation of the </w:t>
      </w:r>
      <w:r>
        <w:rPr>
          <w:i/>
          <w:sz w:val="21"/>
        </w:rPr>
        <w:t xml:space="preserve">Our Knowledge Our Way in Caring for Country Guidelines </w:t>
      </w:r>
      <w:r>
        <w:rPr>
          <w:sz w:val="21"/>
        </w:rPr>
        <w:t xml:space="preserve">was led by an Indigenous-majority Project Steering Group to ensure Indigenous leadership of the project. The Project Steering Group </w:t>
      </w:r>
      <w:proofErr w:type="gramStart"/>
      <w:r>
        <w:rPr>
          <w:sz w:val="21"/>
        </w:rPr>
        <w:t>asked</w:t>
      </w:r>
      <w:proofErr w:type="gramEnd"/>
      <w:r>
        <w:rPr>
          <w:sz w:val="21"/>
        </w:rPr>
        <w:t xml:space="preserve"> “who decides what is best practice and how?” and provided the critical direction that: </w:t>
      </w:r>
      <w:r>
        <w:rPr>
          <w:i/>
          <w:sz w:val="21"/>
        </w:rPr>
        <w:t xml:space="preserve">Indigenous people must decide what is best practice in working with our knowledge. </w:t>
      </w:r>
      <w:r>
        <w:rPr>
          <w:sz w:val="21"/>
        </w:rPr>
        <w:t xml:space="preserve">(Woodward </w:t>
      </w:r>
      <w:r>
        <w:rPr>
          <w:i/>
          <w:sz w:val="21"/>
        </w:rPr>
        <w:t xml:space="preserve">et al, </w:t>
      </w:r>
      <w:r>
        <w:rPr>
          <w:sz w:val="21"/>
        </w:rPr>
        <w:t>2020).</w:t>
      </w:r>
    </w:p>
    <w:p w14:paraId="4178A375" w14:textId="77777777" w:rsidR="005A7F14" w:rsidRDefault="0031751E">
      <w:pPr>
        <w:pStyle w:val="BodyText"/>
        <w:spacing w:before="119"/>
      </w:pPr>
      <w:r>
        <w:t>With respect to protocols, the Guidelines state:</w:t>
      </w:r>
    </w:p>
    <w:p w14:paraId="4C238EC7" w14:textId="77777777" w:rsidR="005A7F14" w:rsidRDefault="0031751E">
      <w:pPr>
        <w:spacing w:before="140" w:line="259" w:lineRule="auto"/>
        <w:ind w:left="706" w:right="376"/>
        <w:jc w:val="both"/>
        <w:rPr>
          <w:i/>
          <w:sz w:val="21"/>
        </w:rPr>
      </w:pPr>
      <w:r>
        <w:rPr>
          <w:i/>
          <w:sz w:val="21"/>
        </w:rPr>
        <w:t xml:space="preserve">Our knowledge protocols are vital to positive experiences in sharing knowledge. It is our business to know and follow our own cultural protocols when sharing knowledge within and outside of different Traditional Owner groups.  </w:t>
      </w:r>
    </w:p>
    <w:p w14:paraId="0B2948E1" w14:textId="77777777" w:rsidR="005A7F14" w:rsidRDefault="0031751E">
      <w:pPr>
        <w:spacing w:before="120" w:line="259" w:lineRule="auto"/>
        <w:ind w:left="706" w:right="217"/>
        <w:rPr>
          <w:i/>
          <w:sz w:val="21"/>
        </w:rPr>
      </w:pPr>
      <w:r>
        <w:rPr>
          <w:i/>
          <w:sz w:val="21"/>
        </w:rPr>
        <w:t xml:space="preserve">Other protocols can be negotiated between Indigenous and non-Indigenous partners to facilitate sharing of knowledge the right way, and these can operate at many scales. Protocols can </w:t>
      </w:r>
      <w:proofErr w:type="gramStart"/>
      <w:r>
        <w:rPr>
          <w:i/>
          <w:sz w:val="21"/>
        </w:rPr>
        <w:t>include:</w:t>
      </w:r>
      <w:proofErr w:type="gramEnd"/>
      <w:r>
        <w:rPr>
          <w:i/>
          <w:sz w:val="21"/>
        </w:rPr>
        <w:t xml:space="preserve"> agreement on the activities, responsibilities and contributions of each partner; acknowledgement and consideration of background Intellectual property (IP); and how the research IP will be shared. Formalised research agreements between institutions offer a higher level of protection to IP because they are binding. </w:t>
      </w:r>
      <w:r>
        <w:rPr>
          <w:sz w:val="21"/>
        </w:rPr>
        <w:t xml:space="preserve">(Woodward </w:t>
      </w:r>
      <w:r>
        <w:rPr>
          <w:i/>
          <w:sz w:val="21"/>
        </w:rPr>
        <w:t xml:space="preserve">et al, </w:t>
      </w:r>
      <w:proofErr w:type="gramStart"/>
      <w:r>
        <w:rPr>
          <w:sz w:val="21"/>
        </w:rPr>
        <w:t>2020:xxi</w:t>
      </w:r>
      <w:proofErr w:type="gramEnd"/>
      <w:r>
        <w:rPr>
          <w:sz w:val="21"/>
        </w:rPr>
        <w:t>)</w:t>
      </w:r>
      <w:r>
        <w:rPr>
          <w:i/>
          <w:sz w:val="21"/>
        </w:rPr>
        <w:t xml:space="preserve"> </w:t>
      </w:r>
    </w:p>
    <w:p w14:paraId="49DD9862" w14:textId="77777777" w:rsidR="005A7F14" w:rsidRDefault="0031751E">
      <w:pPr>
        <w:pStyle w:val="BodyText"/>
        <w:spacing w:before="117"/>
      </w:pPr>
      <w:r>
        <w:t>With respect to consent for sharing knowledge, the Guidelines state:</w:t>
      </w:r>
    </w:p>
    <w:p w14:paraId="552BCDBA" w14:textId="77777777" w:rsidR="005A7F14" w:rsidRDefault="0031751E">
      <w:pPr>
        <w:spacing w:before="143" w:line="259" w:lineRule="auto"/>
        <w:ind w:left="706" w:right="217"/>
        <w:rPr>
          <w:i/>
          <w:sz w:val="21"/>
        </w:rPr>
      </w:pPr>
      <w:r>
        <w:rPr>
          <w:i/>
          <w:sz w:val="21"/>
        </w:rPr>
        <w:t xml:space="preserve">Free, </w:t>
      </w:r>
      <w:proofErr w:type="gramStart"/>
      <w:r>
        <w:rPr>
          <w:i/>
          <w:sz w:val="21"/>
        </w:rPr>
        <w:t>prior</w:t>
      </w:r>
      <w:proofErr w:type="gramEnd"/>
      <w:r>
        <w:rPr>
          <w:i/>
          <w:sz w:val="21"/>
        </w:rPr>
        <w:t xml:space="preserve"> and informed consent (FPIC) is critical to the sharing of knowledge. The UN Declaration on the Rights of Indigenous Peoples, and many other international and national laws and policies, recognise FPIC as the best practice approach to engaging with Indigenous knowledge. </w:t>
      </w:r>
    </w:p>
    <w:p w14:paraId="0C804884" w14:textId="77777777" w:rsidR="005A7F14" w:rsidRDefault="0031751E">
      <w:pPr>
        <w:spacing w:before="117" w:line="259" w:lineRule="auto"/>
        <w:ind w:left="706" w:right="82"/>
        <w:rPr>
          <w:i/>
          <w:sz w:val="21"/>
        </w:rPr>
      </w:pPr>
      <w:r>
        <w:rPr>
          <w:i/>
          <w:sz w:val="21"/>
        </w:rPr>
        <w:t xml:space="preserve">FPIC requires that individuals and groups </w:t>
      </w:r>
      <w:proofErr w:type="gramStart"/>
      <w:r>
        <w:rPr>
          <w:i/>
          <w:sz w:val="21"/>
        </w:rPr>
        <w:t>are</w:t>
      </w:r>
      <w:proofErr w:type="gramEnd"/>
      <w:r>
        <w:rPr>
          <w:i/>
          <w:sz w:val="21"/>
        </w:rPr>
        <w:t xml:space="preserve"> provided with sufficient accessible information to enable full consideration of the risks and benefits of a proposed project, prior to them making a decision about whether or not to consent to that proposal. Partners should ensure that their project budgets accommodate payment of interpreters where appropriate, to ensure Indigenous partners are adequately informed before giving consent. The requirement for consent entitles Indigenous Peoples to determine the outcome of decision-making that affects them. </w:t>
      </w:r>
      <w:r>
        <w:rPr>
          <w:sz w:val="21"/>
        </w:rPr>
        <w:t xml:space="preserve">(Woodward, </w:t>
      </w:r>
      <w:r>
        <w:rPr>
          <w:i/>
          <w:sz w:val="21"/>
        </w:rPr>
        <w:t xml:space="preserve">et al, </w:t>
      </w:r>
      <w:proofErr w:type="gramStart"/>
      <w:r>
        <w:rPr>
          <w:sz w:val="21"/>
        </w:rPr>
        <w:t>2020:xxii</w:t>
      </w:r>
      <w:proofErr w:type="gramEnd"/>
      <w:r>
        <w:rPr>
          <w:sz w:val="21"/>
        </w:rPr>
        <w:t>)</w:t>
      </w:r>
      <w:r>
        <w:rPr>
          <w:i/>
          <w:sz w:val="21"/>
        </w:rPr>
        <w:t xml:space="preserve"> </w:t>
      </w:r>
    </w:p>
    <w:p w14:paraId="306AB1AB" w14:textId="77777777" w:rsidR="005A7F14" w:rsidRDefault="0031751E">
      <w:pPr>
        <w:pStyle w:val="BodyText"/>
        <w:spacing w:before="120" w:line="259" w:lineRule="auto"/>
        <w:ind w:right="671"/>
      </w:pPr>
      <w:r>
        <w:t xml:space="preserve">As the Guidelines also state, Indigenous knowledge is current, relevant, dynamic and adaptable, and Indigenous knowledge is used today as it was in the past ‘to look after Country </w:t>
      </w:r>
      <w:r>
        <w:rPr>
          <w:i/>
        </w:rPr>
        <w:t>our way</w:t>
      </w:r>
      <w:r>
        <w:t xml:space="preserve">’ and ‘Improved environmental conditions and multiple social, cultural and economic benefits come from effective Indigenous adaptive management of Country’ (Woodward </w:t>
      </w:r>
      <w:r>
        <w:rPr>
          <w:i/>
        </w:rPr>
        <w:t xml:space="preserve">et al, </w:t>
      </w:r>
      <w:r>
        <w:t>2020:2).</w:t>
      </w:r>
    </w:p>
    <w:p w14:paraId="082EAC11" w14:textId="77777777" w:rsidR="005A7F14" w:rsidRDefault="0031751E">
      <w:pPr>
        <w:pStyle w:val="BodyText"/>
        <w:spacing w:before="119" w:line="259" w:lineRule="auto"/>
        <w:ind w:right="274"/>
      </w:pPr>
      <w:r>
        <w:t>The issues associated with Indigenous cultural and intellectual property (ICIP) rights and protocols for engaging with Indigenous peoples about environmental and climate science research are discussed in more detail in Chapter 7.</w:t>
      </w:r>
    </w:p>
    <w:p w14:paraId="018BAB79" w14:textId="77777777" w:rsidR="005A7F14" w:rsidRDefault="005A7F14">
      <w:pPr>
        <w:spacing w:line="259" w:lineRule="auto"/>
        <w:sectPr w:rsidR="005A7F14">
          <w:pgSz w:w="11910" w:h="16840"/>
          <w:pgMar w:top="1320" w:right="1000" w:bottom="940" w:left="1420" w:header="0" w:footer="747" w:gutter="0"/>
          <w:cols w:space="720"/>
        </w:sectPr>
      </w:pPr>
    </w:p>
    <w:p w14:paraId="663DE346" w14:textId="77777777" w:rsidR="005A7F14" w:rsidRPr="005D0CA2" w:rsidRDefault="0031751E">
      <w:pPr>
        <w:pStyle w:val="Heading1"/>
        <w:numPr>
          <w:ilvl w:val="1"/>
          <w:numId w:val="6"/>
        </w:numPr>
        <w:tabs>
          <w:tab w:val="left" w:pos="860"/>
          <w:tab w:val="left" w:pos="861"/>
        </w:tabs>
        <w:spacing w:before="22" w:line="259" w:lineRule="auto"/>
        <w:ind w:left="140" w:right="284" w:firstLine="0"/>
        <w:rPr>
          <w:b/>
          <w:bCs/>
        </w:rPr>
      </w:pPr>
      <w:r w:rsidRPr="005D0CA2">
        <w:rPr>
          <w:b/>
          <w:bCs/>
        </w:rPr>
        <w:lastRenderedPageBreak/>
        <w:t>Indigenous research themes and questions arising from IPA Management Plans</w:t>
      </w:r>
    </w:p>
    <w:p w14:paraId="6F44D59C" w14:textId="77777777" w:rsidR="005A7F14" w:rsidRDefault="00C535E9">
      <w:pPr>
        <w:pStyle w:val="BodyText"/>
        <w:spacing w:before="118" w:line="259" w:lineRule="auto"/>
        <w:ind w:right="357"/>
      </w:pPr>
      <w:hyperlink w:anchor="_bookmark3" w:history="1">
        <w:r w:rsidR="0031751E" w:rsidRPr="00E56D12">
          <w:rPr>
            <w:b/>
            <w:bCs/>
          </w:rPr>
          <w:t>Table 6.2</w:t>
        </w:r>
        <w:r w:rsidR="0031751E">
          <w:t xml:space="preserve"> </w:t>
        </w:r>
      </w:hyperlink>
      <w:r w:rsidR="0031751E">
        <w:t xml:space="preserve">and </w:t>
      </w:r>
      <w:hyperlink w:anchor="_bookmark4" w:history="1">
        <w:r w:rsidR="0031751E" w:rsidRPr="00E56D12">
          <w:rPr>
            <w:b/>
            <w:bCs/>
          </w:rPr>
          <w:t xml:space="preserve">Table 6.3 </w:t>
        </w:r>
      </w:hyperlink>
      <w:r w:rsidR="0031751E">
        <w:t>also show the Indigenous specific research subjects and priorities from the IPA and Other Non-IPA Management Plans. These subjects and or priorities have been aligned with the new thematic Hubs and relevant Missions as identified in the material released by the Minister for the Environment on 27 March 2020 on NESP 2 (DAWE, 2020a).</w:t>
      </w:r>
      <w:r w:rsidR="0031751E">
        <w:rPr>
          <w:vertAlign w:val="superscript"/>
        </w:rPr>
        <w:t>32</w:t>
      </w:r>
    </w:p>
    <w:p w14:paraId="3EC3BD87" w14:textId="77777777" w:rsidR="005A7F14" w:rsidRDefault="00C535E9">
      <w:pPr>
        <w:pStyle w:val="BodyText"/>
        <w:spacing w:before="119"/>
      </w:pPr>
      <w:hyperlink w:anchor="_bookmark3" w:history="1">
        <w:r w:rsidR="0031751E" w:rsidRPr="00E56D12">
          <w:rPr>
            <w:b/>
            <w:bCs/>
          </w:rPr>
          <w:t>Table 6.2</w:t>
        </w:r>
        <w:r w:rsidR="0031751E">
          <w:t xml:space="preserve"> </w:t>
        </w:r>
      </w:hyperlink>
      <w:r w:rsidR="0031751E">
        <w:t>shows that:</w:t>
      </w:r>
    </w:p>
    <w:p w14:paraId="764AC79F" w14:textId="77777777" w:rsidR="005A7F14" w:rsidRDefault="0031751E">
      <w:pPr>
        <w:pStyle w:val="ListParagraph"/>
        <w:numPr>
          <w:ilvl w:val="2"/>
          <w:numId w:val="6"/>
        </w:numPr>
        <w:tabs>
          <w:tab w:val="left" w:pos="860"/>
          <w:tab w:val="left" w:pos="861"/>
        </w:tabs>
        <w:spacing w:before="142" w:line="259" w:lineRule="auto"/>
        <w:ind w:right="686"/>
        <w:rPr>
          <w:sz w:val="21"/>
        </w:rPr>
      </w:pPr>
      <w:r>
        <w:rPr>
          <w:sz w:val="21"/>
        </w:rPr>
        <w:t>28 out of the 38 IPAs have research subjects or priorities that can be aligned with the Resilient Landscapes Research Hub with lead responsibility for the threatened / migratory species and threatened ecological communities’</w:t>
      </w:r>
      <w:r>
        <w:rPr>
          <w:spacing w:val="-5"/>
          <w:sz w:val="21"/>
        </w:rPr>
        <w:t xml:space="preserve"> </w:t>
      </w:r>
      <w:proofErr w:type="gramStart"/>
      <w:r>
        <w:rPr>
          <w:sz w:val="21"/>
        </w:rPr>
        <w:t>mission;</w:t>
      </w:r>
      <w:proofErr w:type="gramEnd"/>
    </w:p>
    <w:p w14:paraId="2DD907F6" w14:textId="77777777" w:rsidR="005A7F14" w:rsidRDefault="0031751E">
      <w:pPr>
        <w:pStyle w:val="ListParagraph"/>
        <w:numPr>
          <w:ilvl w:val="2"/>
          <w:numId w:val="6"/>
        </w:numPr>
        <w:tabs>
          <w:tab w:val="left" w:pos="860"/>
          <w:tab w:val="left" w:pos="861"/>
        </w:tabs>
        <w:spacing w:line="261" w:lineRule="auto"/>
        <w:ind w:right="429"/>
        <w:rPr>
          <w:sz w:val="21"/>
        </w:rPr>
      </w:pPr>
      <w:r>
        <w:rPr>
          <w:sz w:val="21"/>
        </w:rPr>
        <w:t>11 out of the 38 IPAs have research subjects or priorities that can be aligned with the Marine and Coastal Research Hub with lead responsibility for the Protected places management</w:t>
      </w:r>
      <w:r>
        <w:rPr>
          <w:spacing w:val="-19"/>
          <w:sz w:val="21"/>
        </w:rPr>
        <w:t xml:space="preserve"> </w:t>
      </w:r>
      <w:proofErr w:type="gramStart"/>
      <w:r>
        <w:rPr>
          <w:sz w:val="21"/>
        </w:rPr>
        <w:t>mission;</w:t>
      </w:r>
      <w:proofErr w:type="gramEnd"/>
    </w:p>
    <w:p w14:paraId="7A13431A" w14:textId="77777777" w:rsidR="005A7F14" w:rsidRDefault="0031751E">
      <w:pPr>
        <w:pStyle w:val="ListParagraph"/>
        <w:numPr>
          <w:ilvl w:val="2"/>
          <w:numId w:val="6"/>
        </w:numPr>
        <w:tabs>
          <w:tab w:val="left" w:pos="860"/>
          <w:tab w:val="left" w:pos="861"/>
        </w:tabs>
        <w:spacing w:line="259" w:lineRule="auto"/>
        <w:ind w:right="129"/>
        <w:rPr>
          <w:sz w:val="21"/>
        </w:rPr>
      </w:pPr>
      <w:r>
        <w:rPr>
          <w:sz w:val="21"/>
        </w:rPr>
        <w:t>6 out of the 38 IPAs have research subjects or priorities that can be aligned with the Climate Systems Research Hub with lead responsibility for the Climate adaptation</w:t>
      </w:r>
      <w:r>
        <w:rPr>
          <w:spacing w:val="-7"/>
          <w:sz w:val="21"/>
        </w:rPr>
        <w:t xml:space="preserve"> </w:t>
      </w:r>
      <w:proofErr w:type="gramStart"/>
      <w:r>
        <w:rPr>
          <w:sz w:val="21"/>
        </w:rPr>
        <w:t>mission;</w:t>
      </w:r>
      <w:proofErr w:type="gramEnd"/>
    </w:p>
    <w:p w14:paraId="50023B60" w14:textId="77777777" w:rsidR="005A7F14" w:rsidRDefault="0031751E">
      <w:pPr>
        <w:pStyle w:val="ListParagraph"/>
        <w:numPr>
          <w:ilvl w:val="2"/>
          <w:numId w:val="6"/>
        </w:numPr>
        <w:tabs>
          <w:tab w:val="left" w:pos="860"/>
          <w:tab w:val="left" w:pos="861"/>
        </w:tabs>
        <w:spacing w:line="259" w:lineRule="auto"/>
        <w:ind w:right="496"/>
        <w:rPr>
          <w:sz w:val="21"/>
        </w:rPr>
      </w:pPr>
      <w:r>
        <w:rPr>
          <w:sz w:val="21"/>
        </w:rPr>
        <w:t xml:space="preserve">None of the IPAs have identified research themes or questions that can be aligned with the Sustainable Communities </w:t>
      </w:r>
      <w:r>
        <w:rPr>
          <w:spacing w:val="-2"/>
          <w:sz w:val="21"/>
        </w:rPr>
        <w:t xml:space="preserve">and </w:t>
      </w:r>
      <w:r>
        <w:rPr>
          <w:sz w:val="21"/>
        </w:rPr>
        <w:t>Waste Research Hub with lead responsibility for the Waste impact management</w:t>
      </w:r>
      <w:r>
        <w:rPr>
          <w:spacing w:val="-3"/>
          <w:sz w:val="21"/>
        </w:rPr>
        <w:t xml:space="preserve"> </w:t>
      </w:r>
      <w:r>
        <w:rPr>
          <w:sz w:val="21"/>
        </w:rPr>
        <w:t>mission).</w:t>
      </w:r>
    </w:p>
    <w:p w14:paraId="00ACA054" w14:textId="77777777" w:rsidR="005A7F14" w:rsidRDefault="00C535E9">
      <w:pPr>
        <w:pStyle w:val="BodyText"/>
        <w:spacing w:before="112"/>
      </w:pPr>
      <w:hyperlink w:anchor="_bookmark4" w:history="1">
        <w:r w:rsidR="0031751E" w:rsidRPr="00E56D12">
          <w:rPr>
            <w:b/>
            <w:bCs/>
          </w:rPr>
          <w:t>Table 6.3</w:t>
        </w:r>
        <w:r w:rsidR="0031751E">
          <w:t xml:space="preserve"> </w:t>
        </w:r>
      </w:hyperlink>
      <w:r w:rsidR="0031751E">
        <w:t>shows that:</w:t>
      </w:r>
    </w:p>
    <w:p w14:paraId="798F70CF" w14:textId="77777777" w:rsidR="005A7F14" w:rsidRDefault="0031751E">
      <w:pPr>
        <w:pStyle w:val="ListParagraph"/>
        <w:numPr>
          <w:ilvl w:val="2"/>
          <w:numId w:val="6"/>
        </w:numPr>
        <w:tabs>
          <w:tab w:val="left" w:pos="853"/>
          <w:tab w:val="left" w:pos="854"/>
        </w:tabs>
        <w:spacing w:before="140" w:line="259" w:lineRule="auto"/>
        <w:ind w:left="853" w:right="725" w:hanging="356"/>
        <w:rPr>
          <w:sz w:val="21"/>
        </w:rPr>
      </w:pPr>
      <w:r>
        <w:rPr>
          <w:sz w:val="21"/>
        </w:rPr>
        <w:t>The research priorities of three (3) of the Management plans can be aligned with the Resilient Landscapes Research Hub with lead responsibility for the threatened / migratory species and threatened ecological communities’</w:t>
      </w:r>
      <w:r>
        <w:rPr>
          <w:spacing w:val="-6"/>
          <w:sz w:val="21"/>
        </w:rPr>
        <w:t xml:space="preserve"> </w:t>
      </w:r>
      <w:proofErr w:type="gramStart"/>
      <w:r>
        <w:rPr>
          <w:sz w:val="21"/>
        </w:rPr>
        <w:t>mission;</w:t>
      </w:r>
      <w:proofErr w:type="gramEnd"/>
    </w:p>
    <w:p w14:paraId="0EE79B2E" w14:textId="77777777" w:rsidR="005A7F14" w:rsidRDefault="0031751E">
      <w:pPr>
        <w:pStyle w:val="ListParagraph"/>
        <w:numPr>
          <w:ilvl w:val="2"/>
          <w:numId w:val="6"/>
        </w:numPr>
        <w:tabs>
          <w:tab w:val="left" w:pos="860"/>
          <w:tab w:val="left" w:pos="861"/>
        </w:tabs>
        <w:spacing w:line="261" w:lineRule="auto"/>
        <w:ind w:right="199"/>
        <w:rPr>
          <w:sz w:val="21"/>
        </w:rPr>
      </w:pPr>
      <w:r>
        <w:rPr>
          <w:sz w:val="21"/>
        </w:rPr>
        <w:t>The research priorities of one (1) of the Management Plans can be aligned with the Climate Systems Research Hub with lead responsibility for the Climate adaptation</w:t>
      </w:r>
      <w:r>
        <w:rPr>
          <w:spacing w:val="-8"/>
          <w:sz w:val="21"/>
        </w:rPr>
        <w:t xml:space="preserve"> </w:t>
      </w:r>
      <w:r>
        <w:rPr>
          <w:sz w:val="21"/>
        </w:rPr>
        <w:t>mission.</w:t>
      </w:r>
    </w:p>
    <w:p w14:paraId="6638FAF7" w14:textId="77777777" w:rsidR="005A7F14" w:rsidRPr="00F93B3D" w:rsidRDefault="00C535E9">
      <w:pPr>
        <w:pStyle w:val="BodyText"/>
        <w:spacing w:before="115" w:line="369" w:lineRule="auto"/>
        <w:ind w:right="334"/>
        <w:rPr>
          <w:b/>
          <w:bCs/>
        </w:rPr>
      </w:pPr>
      <w:hyperlink w:anchor="_bookmark5" w:history="1">
        <w:r w:rsidR="0031751E" w:rsidRPr="00E56D12">
          <w:rPr>
            <w:b/>
            <w:bCs/>
          </w:rPr>
          <w:t xml:space="preserve">Table 6.4, </w:t>
        </w:r>
      </w:hyperlink>
      <w:hyperlink w:anchor="_bookmark6" w:history="1">
        <w:r w:rsidR="0031751E" w:rsidRPr="00E56D12">
          <w:rPr>
            <w:b/>
            <w:bCs/>
          </w:rPr>
          <w:t xml:space="preserve">Table 6.5 </w:t>
        </w:r>
      </w:hyperlink>
      <w:r w:rsidR="0031751E">
        <w:t xml:space="preserve">and </w:t>
      </w:r>
      <w:hyperlink w:anchor="_bookmark7" w:history="1">
        <w:r w:rsidR="0031751E" w:rsidRPr="00E56D12">
          <w:rPr>
            <w:b/>
            <w:bCs/>
          </w:rPr>
          <w:t>Table 6.6</w:t>
        </w:r>
        <w:r w:rsidR="0031751E">
          <w:t xml:space="preserve"> </w:t>
        </w:r>
      </w:hyperlink>
      <w:r w:rsidR="0031751E">
        <w:t>lists the subjects relevant to three of the four new NESP2 research Hubs.</w:t>
      </w:r>
      <w:bookmarkStart w:id="5" w:name="_bookmark5"/>
      <w:bookmarkEnd w:id="5"/>
      <w:r w:rsidR="0031751E">
        <w:t xml:space="preserve"> </w:t>
      </w:r>
      <w:r w:rsidR="0031751E" w:rsidRPr="00F93B3D">
        <w:rPr>
          <w:b/>
          <w:bCs/>
          <w:color w:val="404040"/>
        </w:rPr>
        <w:t>Table 6.4: Subjects relevant to NESP2 Resilient Landscapes Research</w:t>
      </w: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9074"/>
      </w:tblGrid>
      <w:tr w:rsidR="005A7F14" w14:paraId="409DB4B2" w14:textId="77777777">
        <w:trPr>
          <w:trHeight w:val="347"/>
        </w:trPr>
        <w:tc>
          <w:tcPr>
            <w:tcW w:w="9074" w:type="dxa"/>
            <w:shd w:val="clear" w:color="auto" w:fill="D9D9D9"/>
          </w:tcPr>
          <w:p w14:paraId="3300CBF8" w14:textId="77777777" w:rsidR="005A7F14" w:rsidRDefault="0031751E">
            <w:pPr>
              <w:pStyle w:val="TableParagraph"/>
              <w:spacing w:before="38"/>
              <w:ind w:left="57"/>
              <w:rPr>
                <w:sz w:val="18"/>
              </w:rPr>
            </w:pPr>
            <w:r>
              <w:rPr>
                <w:sz w:val="18"/>
              </w:rPr>
              <w:t>Improving baseline biodiversity data; better understanding of the health of our Country</w:t>
            </w:r>
          </w:p>
        </w:tc>
      </w:tr>
      <w:tr w:rsidR="005A7F14" w14:paraId="4DAB764D" w14:textId="77777777">
        <w:trPr>
          <w:trHeight w:val="553"/>
        </w:trPr>
        <w:tc>
          <w:tcPr>
            <w:tcW w:w="9074" w:type="dxa"/>
          </w:tcPr>
          <w:p w14:paraId="7D29F511" w14:textId="77777777" w:rsidR="005A7F14" w:rsidRDefault="0031751E">
            <w:pPr>
              <w:pStyle w:val="TableParagraph"/>
              <w:spacing w:before="41"/>
              <w:ind w:left="57" w:right="63"/>
              <w:rPr>
                <w:sz w:val="18"/>
              </w:rPr>
            </w:pPr>
            <w:r>
              <w:rPr>
                <w:sz w:val="18"/>
              </w:rPr>
              <w:t>Understanding biodiversity, ecology of landscapes, ecosystem health; sustainable use of natural resources, identify external or environmental contributors to weed and feral animal populations</w:t>
            </w:r>
          </w:p>
        </w:tc>
      </w:tr>
      <w:tr w:rsidR="005A7F14" w14:paraId="2C91A495" w14:textId="77777777">
        <w:trPr>
          <w:trHeight w:val="554"/>
        </w:trPr>
        <w:tc>
          <w:tcPr>
            <w:tcW w:w="9074" w:type="dxa"/>
            <w:shd w:val="clear" w:color="auto" w:fill="D9D9D9"/>
          </w:tcPr>
          <w:p w14:paraId="45E63BD1" w14:textId="77777777" w:rsidR="005A7F14" w:rsidRDefault="0031751E">
            <w:pPr>
              <w:pStyle w:val="TableParagraph"/>
              <w:spacing w:before="38"/>
              <w:ind w:left="57" w:right="250"/>
              <w:rPr>
                <w:sz w:val="18"/>
              </w:rPr>
            </w:pPr>
            <w:r>
              <w:rPr>
                <w:sz w:val="18"/>
              </w:rPr>
              <w:t>Wildlife and habitat monitoring, monitoring of current management practices, address gaps in knowledge for threatened species and species of special conservation significance</w:t>
            </w:r>
          </w:p>
        </w:tc>
      </w:tr>
      <w:tr w:rsidR="005A7F14" w14:paraId="0DADF472" w14:textId="77777777">
        <w:trPr>
          <w:trHeight w:val="551"/>
        </w:trPr>
        <w:tc>
          <w:tcPr>
            <w:tcW w:w="9074" w:type="dxa"/>
          </w:tcPr>
          <w:p w14:paraId="6A63B1EE" w14:textId="77777777" w:rsidR="005A7F14" w:rsidRDefault="0031751E">
            <w:pPr>
              <w:pStyle w:val="TableParagraph"/>
              <w:spacing w:before="38"/>
              <w:ind w:left="57" w:right="565"/>
              <w:rPr>
                <w:sz w:val="18"/>
              </w:rPr>
            </w:pPr>
            <w:r>
              <w:rPr>
                <w:sz w:val="18"/>
              </w:rPr>
              <w:t>Breeding cycles of threatened species, arrest the potential extinction of threatened species, protection of vulnerable species, optimal habitats for threatened species;</w:t>
            </w:r>
          </w:p>
        </w:tc>
      </w:tr>
      <w:tr w:rsidR="005A7F14" w14:paraId="1746BA0E" w14:textId="77777777">
        <w:trPr>
          <w:trHeight w:val="335"/>
        </w:trPr>
        <w:tc>
          <w:tcPr>
            <w:tcW w:w="9074" w:type="dxa"/>
            <w:shd w:val="clear" w:color="auto" w:fill="D9D9D9"/>
          </w:tcPr>
          <w:p w14:paraId="65876BFD" w14:textId="77777777" w:rsidR="005A7F14" w:rsidRDefault="0031751E">
            <w:pPr>
              <w:pStyle w:val="TableParagraph"/>
              <w:spacing w:before="41"/>
              <w:ind w:left="57"/>
              <w:rPr>
                <w:sz w:val="18"/>
              </w:rPr>
            </w:pPr>
            <w:r>
              <w:rPr>
                <w:sz w:val="18"/>
              </w:rPr>
              <w:t xml:space="preserve">Impacts on threatened species (several species of plants, animals, </w:t>
            </w:r>
            <w:proofErr w:type="gramStart"/>
            <w:r>
              <w:rPr>
                <w:sz w:val="18"/>
              </w:rPr>
              <w:t>birds</w:t>
            </w:r>
            <w:proofErr w:type="gramEnd"/>
            <w:r>
              <w:rPr>
                <w:sz w:val="18"/>
              </w:rPr>
              <w:t xml:space="preserve"> and insects specifically mentioned)</w:t>
            </w:r>
          </w:p>
        </w:tc>
      </w:tr>
      <w:tr w:rsidR="005A7F14" w14:paraId="673CB99E" w14:textId="77777777">
        <w:trPr>
          <w:trHeight w:val="551"/>
        </w:trPr>
        <w:tc>
          <w:tcPr>
            <w:tcW w:w="9074" w:type="dxa"/>
          </w:tcPr>
          <w:p w14:paraId="0F5C6934" w14:textId="77777777" w:rsidR="005A7F14" w:rsidRDefault="0031751E">
            <w:pPr>
              <w:pStyle w:val="TableParagraph"/>
              <w:spacing w:before="38"/>
              <w:ind w:left="57" w:right="36"/>
              <w:rPr>
                <w:sz w:val="18"/>
              </w:rPr>
            </w:pPr>
            <w:r>
              <w:rPr>
                <w:sz w:val="18"/>
              </w:rPr>
              <w:t>Long term health of water resources, the effects of reductions in water quality and availability on biota, ground water flows, habitat mapping, fill knowledge gaps about water places of cultural significance</w:t>
            </w:r>
          </w:p>
        </w:tc>
      </w:tr>
      <w:tr w:rsidR="005A7F14" w14:paraId="51E01134" w14:textId="77777777">
        <w:trPr>
          <w:trHeight w:val="335"/>
        </w:trPr>
        <w:tc>
          <w:tcPr>
            <w:tcW w:w="9074" w:type="dxa"/>
            <w:shd w:val="clear" w:color="auto" w:fill="D9D9D9"/>
          </w:tcPr>
          <w:p w14:paraId="1FA9D86A" w14:textId="77777777" w:rsidR="005A7F14" w:rsidRDefault="0031751E">
            <w:pPr>
              <w:pStyle w:val="TableParagraph"/>
              <w:spacing w:before="41"/>
              <w:ind w:left="57"/>
              <w:rPr>
                <w:sz w:val="18"/>
              </w:rPr>
            </w:pPr>
            <w:r>
              <w:rPr>
                <w:sz w:val="18"/>
              </w:rPr>
              <w:t>Trends in old growth forests</w:t>
            </w:r>
          </w:p>
        </w:tc>
      </w:tr>
      <w:tr w:rsidR="005A7F14" w14:paraId="69EA5D08" w14:textId="77777777">
        <w:trPr>
          <w:trHeight w:val="333"/>
        </w:trPr>
        <w:tc>
          <w:tcPr>
            <w:tcW w:w="9074" w:type="dxa"/>
          </w:tcPr>
          <w:p w14:paraId="1C00E8A9" w14:textId="77777777" w:rsidR="005A7F14" w:rsidRDefault="0031751E">
            <w:pPr>
              <w:pStyle w:val="TableParagraph"/>
              <w:spacing w:before="38"/>
              <w:ind w:left="57"/>
              <w:rPr>
                <w:sz w:val="18"/>
              </w:rPr>
            </w:pPr>
            <w:r>
              <w:rPr>
                <w:sz w:val="18"/>
              </w:rPr>
              <w:t>Impacts of over grazing on native species, impact of introduced animals (pigs, buffalo, deer, camels)</w:t>
            </w:r>
          </w:p>
        </w:tc>
      </w:tr>
      <w:tr w:rsidR="005A7F14" w14:paraId="18644A4D" w14:textId="77777777">
        <w:trPr>
          <w:trHeight w:val="333"/>
        </w:trPr>
        <w:tc>
          <w:tcPr>
            <w:tcW w:w="9074" w:type="dxa"/>
            <w:shd w:val="clear" w:color="auto" w:fill="D9D9D9"/>
          </w:tcPr>
          <w:p w14:paraId="5EFFDA3D" w14:textId="77777777" w:rsidR="005A7F14" w:rsidRDefault="0031751E">
            <w:pPr>
              <w:pStyle w:val="TableParagraph"/>
              <w:spacing w:before="39"/>
              <w:ind w:left="57"/>
              <w:rPr>
                <w:sz w:val="18"/>
              </w:rPr>
            </w:pPr>
            <w:r>
              <w:rPr>
                <w:sz w:val="18"/>
              </w:rPr>
              <w:t>The impact of commercial activity such as fishing</w:t>
            </w:r>
          </w:p>
        </w:tc>
      </w:tr>
      <w:tr w:rsidR="005A7F14" w14:paraId="76796C7E" w14:textId="77777777">
        <w:trPr>
          <w:trHeight w:val="333"/>
        </w:trPr>
        <w:tc>
          <w:tcPr>
            <w:tcW w:w="9074" w:type="dxa"/>
          </w:tcPr>
          <w:p w14:paraId="5A833447" w14:textId="77777777" w:rsidR="005A7F14" w:rsidRDefault="0031751E">
            <w:pPr>
              <w:pStyle w:val="TableParagraph"/>
              <w:spacing w:before="41"/>
              <w:ind w:left="57"/>
              <w:rPr>
                <w:sz w:val="18"/>
              </w:rPr>
            </w:pPr>
            <w:r>
              <w:rPr>
                <w:sz w:val="18"/>
              </w:rPr>
              <w:t>The development of wildlife ranching and harvesting</w:t>
            </w:r>
          </w:p>
        </w:tc>
      </w:tr>
      <w:tr w:rsidR="005A7F14" w14:paraId="6FF6C94A" w14:textId="77777777">
        <w:trPr>
          <w:trHeight w:val="333"/>
        </w:trPr>
        <w:tc>
          <w:tcPr>
            <w:tcW w:w="9074" w:type="dxa"/>
            <w:shd w:val="clear" w:color="auto" w:fill="D9D9D9"/>
          </w:tcPr>
          <w:p w14:paraId="2B4422C6" w14:textId="77777777" w:rsidR="005A7F14" w:rsidRDefault="0031751E">
            <w:pPr>
              <w:pStyle w:val="TableParagraph"/>
              <w:spacing w:before="41"/>
              <w:ind w:left="57"/>
              <w:rPr>
                <w:sz w:val="18"/>
              </w:rPr>
            </w:pPr>
            <w:r>
              <w:rPr>
                <w:sz w:val="18"/>
              </w:rPr>
              <w:t>Impact of invasive weeds</w:t>
            </w:r>
          </w:p>
        </w:tc>
      </w:tr>
      <w:tr w:rsidR="005A7F14" w14:paraId="14559881" w14:textId="77777777">
        <w:trPr>
          <w:trHeight w:val="774"/>
        </w:trPr>
        <w:tc>
          <w:tcPr>
            <w:tcW w:w="9074" w:type="dxa"/>
          </w:tcPr>
          <w:p w14:paraId="69950109" w14:textId="77777777" w:rsidR="005A7F14" w:rsidRDefault="0031751E">
            <w:pPr>
              <w:pStyle w:val="TableParagraph"/>
              <w:spacing w:before="41"/>
              <w:ind w:left="57" w:right="195"/>
              <w:rPr>
                <w:sz w:val="18"/>
              </w:rPr>
            </w:pPr>
            <w:r>
              <w:rPr>
                <w:sz w:val="18"/>
              </w:rPr>
              <w:t>Understanding different fire regimes, impact or effect of wildfires, appropriate ecological burning regimes, long-term biological impacts of changed fire regimes on different land types including a lack of data on optimal fire mosaic scales for the enhancement of biodiversity values</w:t>
            </w:r>
          </w:p>
        </w:tc>
      </w:tr>
    </w:tbl>
    <w:p w14:paraId="32C8455C" w14:textId="77777777" w:rsidR="005A7F14" w:rsidRDefault="005A7F14">
      <w:pPr>
        <w:pStyle w:val="BodyText"/>
        <w:ind w:left="0"/>
        <w:rPr>
          <w:sz w:val="20"/>
        </w:rPr>
      </w:pPr>
    </w:p>
    <w:p w14:paraId="4819B29D" w14:textId="77777777" w:rsidR="005A7F14" w:rsidRDefault="00C535E9">
      <w:pPr>
        <w:pStyle w:val="BodyText"/>
        <w:spacing w:before="3"/>
        <w:ind w:left="0"/>
        <w:rPr>
          <w:sz w:val="12"/>
        </w:rPr>
      </w:pPr>
      <w:r>
        <w:pict w14:anchorId="2291292B">
          <v:rect id="_x0000_s1026" style="position:absolute;margin-left:78pt;margin-top:9.45pt;width:2in;height:.7pt;z-index:-15727616;mso-wrap-distance-left:0;mso-wrap-distance-right:0;mso-position-horizontal-relative:page" fillcolor="black" stroked="f">
            <w10:wrap type="topAndBottom" anchorx="page"/>
          </v:rect>
        </w:pict>
      </w:r>
    </w:p>
    <w:p w14:paraId="1CE602DC" w14:textId="77777777" w:rsidR="005A7F14" w:rsidRDefault="0031751E">
      <w:pPr>
        <w:spacing w:before="63"/>
        <w:ind w:left="140"/>
        <w:rPr>
          <w:sz w:val="18"/>
        </w:rPr>
      </w:pPr>
      <w:r>
        <w:rPr>
          <w:position w:val="5"/>
          <w:sz w:val="12"/>
        </w:rPr>
        <w:t xml:space="preserve">32 </w:t>
      </w:r>
      <w:hyperlink r:id="rId10">
        <w:r>
          <w:rPr>
            <w:color w:val="76B800"/>
            <w:sz w:val="18"/>
            <w:u w:val="single" w:color="76B800"/>
          </w:rPr>
          <w:t>https://www.communitygrants.gov.au/grants/national-environmental-science-program-nesp-2</w:t>
        </w:r>
      </w:hyperlink>
    </w:p>
    <w:p w14:paraId="3F0872E3" w14:textId="77777777" w:rsidR="005A7F14" w:rsidRDefault="005A7F14">
      <w:pPr>
        <w:rPr>
          <w:sz w:val="18"/>
        </w:rPr>
        <w:sectPr w:rsidR="005A7F14">
          <w:pgSz w:w="11910" w:h="16840"/>
          <w:pgMar w:top="1380" w:right="1000" w:bottom="940" w:left="1420" w:header="0" w:footer="747" w:gutter="0"/>
          <w:cols w:space="720"/>
        </w:sect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9074"/>
      </w:tblGrid>
      <w:tr w:rsidR="005A7F14" w14:paraId="34E4EC48" w14:textId="77777777">
        <w:trPr>
          <w:trHeight w:val="333"/>
        </w:trPr>
        <w:tc>
          <w:tcPr>
            <w:tcW w:w="9074" w:type="dxa"/>
            <w:shd w:val="clear" w:color="auto" w:fill="D9D9D9"/>
          </w:tcPr>
          <w:p w14:paraId="422C3473" w14:textId="77777777" w:rsidR="005A7F14" w:rsidRDefault="0031751E">
            <w:pPr>
              <w:pStyle w:val="TableParagraph"/>
              <w:spacing w:before="56"/>
              <w:ind w:left="57"/>
              <w:rPr>
                <w:sz w:val="18"/>
              </w:rPr>
            </w:pPr>
            <w:r>
              <w:rPr>
                <w:sz w:val="18"/>
              </w:rPr>
              <w:lastRenderedPageBreak/>
              <w:t>The impact of natural disasters and the integration of traditional knowledge into accepted management practices</w:t>
            </w:r>
          </w:p>
        </w:tc>
      </w:tr>
      <w:tr w:rsidR="005A7F14" w14:paraId="0FD28F65" w14:textId="77777777">
        <w:trPr>
          <w:trHeight w:val="554"/>
        </w:trPr>
        <w:tc>
          <w:tcPr>
            <w:tcW w:w="9074" w:type="dxa"/>
          </w:tcPr>
          <w:p w14:paraId="4D494B17" w14:textId="77777777" w:rsidR="005A7F14" w:rsidRDefault="0031751E">
            <w:pPr>
              <w:pStyle w:val="TableParagraph"/>
              <w:spacing w:before="59"/>
              <w:ind w:left="57" w:right="63"/>
              <w:rPr>
                <w:sz w:val="18"/>
              </w:rPr>
            </w:pPr>
            <w:r>
              <w:rPr>
                <w:sz w:val="18"/>
              </w:rPr>
              <w:t xml:space="preserve">Establish a database to store scientific baseline data and Ecological Knowledge and monitoring activities, expand and manage database with natural and cultural traditional knowledge about plants, animals, </w:t>
            </w:r>
            <w:proofErr w:type="gramStart"/>
            <w:r>
              <w:rPr>
                <w:sz w:val="18"/>
              </w:rPr>
              <w:t>Country</w:t>
            </w:r>
            <w:proofErr w:type="gramEnd"/>
            <w:r>
              <w:rPr>
                <w:sz w:val="18"/>
              </w:rPr>
              <w:t xml:space="preserve"> and culture</w:t>
            </w:r>
          </w:p>
        </w:tc>
      </w:tr>
      <w:tr w:rsidR="005A7F14" w14:paraId="269CEB03" w14:textId="77777777">
        <w:trPr>
          <w:trHeight w:val="333"/>
        </w:trPr>
        <w:tc>
          <w:tcPr>
            <w:tcW w:w="9074" w:type="dxa"/>
            <w:shd w:val="clear" w:color="auto" w:fill="D9D9D9"/>
          </w:tcPr>
          <w:p w14:paraId="1BD3C799" w14:textId="77777777" w:rsidR="005A7F14" w:rsidRDefault="0031751E">
            <w:pPr>
              <w:pStyle w:val="TableParagraph"/>
              <w:spacing w:before="56"/>
              <w:ind w:left="57"/>
              <w:rPr>
                <w:sz w:val="18"/>
              </w:rPr>
            </w:pPr>
            <w:r>
              <w:rPr>
                <w:sz w:val="18"/>
              </w:rPr>
              <w:t>Impacts of new land uses in or near IPAs</w:t>
            </w:r>
          </w:p>
        </w:tc>
      </w:tr>
      <w:tr w:rsidR="005A7F14" w14:paraId="63A82D2E" w14:textId="77777777">
        <w:trPr>
          <w:trHeight w:val="554"/>
        </w:trPr>
        <w:tc>
          <w:tcPr>
            <w:tcW w:w="9074" w:type="dxa"/>
          </w:tcPr>
          <w:p w14:paraId="6CF08EEE" w14:textId="77777777" w:rsidR="005A7F14" w:rsidRDefault="0031751E">
            <w:pPr>
              <w:pStyle w:val="TableParagraph"/>
              <w:spacing w:before="59"/>
              <w:ind w:left="57" w:right="151"/>
              <w:rPr>
                <w:sz w:val="18"/>
              </w:rPr>
            </w:pPr>
            <w:r>
              <w:rPr>
                <w:sz w:val="18"/>
              </w:rPr>
              <w:t>Extent and detail of Aboriginal heritage, engineering and archaeological channels and villages relating to eel aquaculture in South-west Victoria.</w:t>
            </w:r>
          </w:p>
        </w:tc>
      </w:tr>
    </w:tbl>
    <w:p w14:paraId="45DA2D21" w14:textId="77777777" w:rsidR="005A7F14" w:rsidRPr="00E56D12" w:rsidRDefault="0031751E">
      <w:pPr>
        <w:pStyle w:val="BodyText"/>
        <w:spacing w:before="121"/>
        <w:rPr>
          <w:b/>
          <w:bCs/>
        </w:rPr>
      </w:pPr>
      <w:bookmarkStart w:id="6" w:name="_bookmark6"/>
      <w:bookmarkEnd w:id="6"/>
      <w:r w:rsidRPr="00E56D12">
        <w:rPr>
          <w:b/>
          <w:bCs/>
          <w:color w:val="404040"/>
        </w:rPr>
        <w:t>Table 6.5: Subjects Relevant to NESP2 Marine and Coastal Research Hub</w:t>
      </w:r>
    </w:p>
    <w:p w14:paraId="5E0228A6" w14:textId="77777777" w:rsidR="005A7F14" w:rsidRDefault="005A7F14">
      <w:pPr>
        <w:pStyle w:val="BodyText"/>
        <w:spacing w:before="9"/>
        <w:ind w:left="0"/>
        <w:rPr>
          <w:sz w:val="9"/>
        </w:r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8932"/>
      </w:tblGrid>
      <w:tr w:rsidR="005A7F14" w14:paraId="50E713C0" w14:textId="77777777">
        <w:trPr>
          <w:trHeight w:val="554"/>
        </w:trPr>
        <w:tc>
          <w:tcPr>
            <w:tcW w:w="8932" w:type="dxa"/>
            <w:shd w:val="clear" w:color="auto" w:fill="D9D9D9"/>
          </w:tcPr>
          <w:p w14:paraId="13DE4418" w14:textId="77777777" w:rsidR="005A7F14" w:rsidRDefault="0031751E">
            <w:pPr>
              <w:pStyle w:val="TableParagraph"/>
              <w:spacing w:before="56"/>
              <w:ind w:left="57" w:right="188"/>
              <w:rPr>
                <w:sz w:val="18"/>
              </w:rPr>
            </w:pPr>
            <w:r>
              <w:rPr>
                <w:sz w:val="18"/>
              </w:rPr>
              <w:t xml:space="preserve">Indigenous archaeological values of marine areas, better understanding of cultural and ecological values of sea Country; specific research strategies for the cultural, </w:t>
            </w:r>
            <w:proofErr w:type="gramStart"/>
            <w:r>
              <w:rPr>
                <w:sz w:val="18"/>
              </w:rPr>
              <w:t>ecological</w:t>
            </w:r>
            <w:proofErr w:type="gramEnd"/>
            <w:r>
              <w:rPr>
                <w:sz w:val="18"/>
              </w:rPr>
              <w:t xml:space="preserve"> and social values in marine parks</w:t>
            </w:r>
          </w:p>
        </w:tc>
      </w:tr>
      <w:tr w:rsidR="005A7F14" w14:paraId="73709398" w14:textId="77777777">
        <w:trPr>
          <w:trHeight w:val="551"/>
        </w:trPr>
        <w:tc>
          <w:tcPr>
            <w:tcW w:w="8932" w:type="dxa"/>
          </w:tcPr>
          <w:p w14:paraId="4BED8E15" w14:textId="77777777" w:rsidR="005A7F14" w:rsidRDefault="0031751E">
            <w:pPr>
              <w:pStyle w:val="TableParagraph"/>
              <w:spacing w:before="56"/>
              <w:ind w:left="57" w:right="188"/>
              <w:rPr>
                <w:sz w:val="18"/>
              </w:rPr>
            </w:pPr>
            <w:r>
              <w:rPr>
                <w:sz w:val="18"/>
              </w:rPr>
              <w:t>Strategies for monitoring turtle populations in key locations; marine environment surveys, and detailed beach cay, reef platform mapping to better understand sea level rises and tidal surges and to detect and monitor cay migration</w:t>
            </w:r>
          </w:p>
        </w:tc>
      </w:tr>
      <w:tr w:rsidR="005A7F14" w14:paraId="2F3B28E7" w14:textId="77777777">
        <w:trPr>
          <w:trHeight w:val="335"/>
        </w:trPr>
        <w:tc>
          <w:tcPr>
            <w:tcW w:w="8932" w:type="dxa"/>
            <w:shd w:val="clear" w:color="auto" w:fill="D9D9D9"/>
          </w:tcPr>
          <w:p w14:paraId="40DB1180" w14:textId="77777777" w:rsidR="005A7F14" w:rsidRDefault="0031751E">
            <w:pPr>
              <w:pStyle w:val="TableParagraph"/>
              <w:spacing w:before="59"/>
              <w:ind w:left="57"/>
              <w:rPr>
                <w:sz w:val="18"/>
              </w:rPr>
            </w:pPr>
            <w:r>
              <w:rPr>
                <w:sz w:val="18"/>
              </w:rPr>
              <w:t>Mapping sea currents, temperature, and oceanography</w:t>
            </w:r>
          </w:p>
        </w:tc>
      </w:tr>
      <w:tr w:rsidR="005A7F14" w14:paraId="1EF2FF56" w14:textId="77777777">
        <w:trPr>
          <w:trHeight w:val="552"/>
        </w:trPr>
        <w:tc>
          <w:tcPr>
            <w:tcW w:w="8932" w:type="dxa"/>
          </w:tcPr>
          <w:p w14:paraId="0B9CF1C0" w14:textId="77777777" w:rsidR="005A7F14" w:rsidRDefault="0031751E">
            <w:pPr>
              <w:pStyle w:val="TableParagraph"/>
              <w:spacing w:before="56"/>
              <w:ind w:left="57" w:right="198"/>
              <w:rPr>
                <w:sz w:val="18"/>
              </w:rPr>
            </w:pPr>
            <w:r>
              <w:rPr>
                <w:sz w:val="18"/>
              </w:rPr>
              <w:t>Impacts of key threatening processes (including seabed mining, visitor access and climate change); Threat monitoring in protected areas, strategies for managing weeds, pest species and marine debris</w:t>
            </w:r>
          </w:p>
        </w:tc>
      </w:tr>
      <w:tr w:rsidR="005A7F14" w14:paraId="34353479" w14:textId="77777777">
        <w:trPr>
          <w:trHeight w:val="553"/>
        </w:trPr>
        <w:tc>
          <w:tcPr>
            <w:tcW w:w="8932" w:type="dxa"/>
            <w:shd w:val="clear" w:color="auto" w:fill="D9D9D9"/>
          </w:tcPr>
          <w:p w14:paraId="6B3A3CA3" w14:textId="77777777" w:rsidR="005A7F14" w:rsidRDefault="0031751E">
            <w:pPr>
              <w:pStyle w:val="TableParagraph"/>
              <w:spacing w:before="59"/>
              <w:ind w:left="57" w:right="762"/>
              <w:rPr>
                <w:sz w:val="18"/>
              </w:rPr>
            </w:pPr>
            <w:r>
              <w:rPr>
                <w:sz w:val="18"/>
              </w:rPr>
              <w:t>Health of our marine turtles, dugongs nesting turtles, and benthic habitats and other food species and culturally important species</w:t>
            </w:r>
          </w:p>
        </w:tc>
      </w:tr>
      <w:tr w:rsidR="005A7F14" w14:paraId="1EB333FA" w14:textId="77777777">
        <w:trPr>
          <w:trHeight w:val="554"/>
        </w:trPr>
        <w:tc>
          <w:tcPr>
            <w:tcW w:w="8932" w:type="dxa"/>
          </w:tcPr>
          <w:p w14:paraId="782AD826" w14:textId="77777777" w:rsidR="005A7F14" w:rsidRDefault="0031751E">
            <w:pPr>
              <w:pStyle w:val="TableParagraph"/>
              <w:spacing w:before="59"/>
              <w:ind w:left="57" w:right="385"/>
              <w:rPr>
                <w:sz w:val="18"/>
              </w:rPr>
            </w:pPr>
            <w:r>
              <w:rPr>
                <w:sz w:val="18"/>
              </w:rPr>
              <w:t xml:space="preserve">Improve knowledge and understanding of humpback whales, other important ecological values, cultural </w:t>
            </w:r>
            <w:proofErr w:type="gramStart"/>
            <w:r>
              <w:rPr>
                <w:sz w:val="18"/>
              </w:rPr>
              <w:t>heritage</w:t>
            </w:r>
            <w:proofErr w:type="gramEnd"/>
            <w:r>
              <w:rPr>
                <w:sz w:val="18"/>
              </w:rPr>
              <w:t xml:space="preserve"> and human use in the marine park</w:t>
            </w:r>
          </w:p>
        </w:tc>
      </w:tr>
      <w:tr w:rsidR="005A7F14" w14:paraId="629705E7" w14:textId="77777777">
        <w:trPr>
          <w:trHeight w:val="993"/>
        </w:trPr>
        <w:tc>
          <w:tcPr>
            <w:tcW w:w="8932" w:type="dxa"/>
            <w:shd w:val="clear" w:color="auto" w:fill="D9D9D9"/>
          </w:tcPr>
          <w:p w14:paraId="5BDDAF32" w14:textId="77777777" w:rsidR="005A7F14" w:rsidRDefault="0031751E">
            <w:pPr>
              <w:pStyle w:val="TableParagraph"/>
              <w:spacing w:before="56"/>
              <w:ind w:left="57" w:right="135"/>
              <w:rPr>
                <w:sz w:val="18"/>
              </w:rPr>
            </w:pPr>
            <w:r>
              <w:rPr>
                <w:sz w:val="18"/>
              </w:rPr>
              <w:t>Defining condition, pressure and response indicators and metrics (i.e. performance measures) to support the monitoring program, establishing baselines for marine park values, addressing knowledge gaps for values identified as key performance indicators, integrating traditional knowledge with contemporary science programs, where appropriate, examining how tidal amplitude influences the distribution and movement patterns of marine species</w:t>
            </w:r>
          </w:p>
        </w:tc>
      </w:tr>
      <w:tr w:rsidR="005A7F14" w14:paraId="29504C69" w14:textId="77777777">
        <w:trPr>
          <w:trHeight w:val="333"/>
        </w:trPr>
        <w:tc>
          <w:tcPr>
            <w:tcW w:w="8932" w:type="dxa"/>
          </w:tcPr>
          <w:p w14:paraId="56CA489B" w14:textId="77777777" w:rsidR="005A7F14" w:rsidRDefault="0031751E">
            <w:pPr>
              <w:pStyle w:val="TableParagraph"/>
              <w:spacing w:before="56"/>
              <w:ind w:left="57"/>
              <w:rPr>
                <w:sz w:val="18"/>
              </w:rPr>
            </w:pPr>
            <w:r>
              <w:rPr>
                <w:sz w:val="18"/>
              </w:rPr>
              <w:t>Establish a database to store all monitoring activities.</w:t>
            </w:r>
          </w:p>
        </w:tc>
      </w:tr>
    </w:tbl>
    <w:p w14:paraId="0890136B" w14:textId="77777777" w:rsidR="005A7F14" w:rsidRPr="00E56D12" w:rsidRDefault="0031751E">
      <w:pPr>
        <w:pStyle w:val="BodyText"/>
        <w:spacing w:before="121"/>
        <w:rPr>
          <w:b/>
          <w:bCs/>
        </w:rPr>
      </w:pPr>
      <w:bookmarkStart w:id="7" w:name="_bookmark7"/>
      <w:bookmarkEnd w:id="7"/>
      <w:r w:rsidRPr="00E56D12">
        <w:rPr>
          <w:b/>
          <w:bCs/>
          <w:color w:val="404040"/>
        </w:rPr>
        <w:t>Table 6.6: Subjects Relevant to NESP2 Climate Systems Research Hub</w:t>
      </w:r>
    </w:p>
    <w:p w14:paraId="1A4596FC" w14:textId="77777777" w:rsidR="005A7F14" w:rsidRDefault="005A7F14">
      <w:pPr>
        <w:pStyle w:val="BodyText"/>
        <w:spacing w:before="9"/>
        <w:ind w:left="0"/>
        <w:rPr>
          <w:sz w:val="9"/>
        </w:r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8932"/>
      </w:tblGrid>
      <w:tr w:rsidR="005A7F14" w14:paraId="691F42CB" w14:textId="77777777">
        <w:trPr>
          <w:trHeight w:val="400"/>
        </w:trPr>
        <w:tc>
          <w:tcPr>
            <w:tcW w:w="8932" w:type="dxa"/>
            <w:shd w:val="clear" w:color="auto" w:fill="D9D9D9"/>
          </w:tcPr>
          <w:p w14:paraId="7ABE1457" w14:textId="77777777" w:rsidR="005A7F14" w:rsidRDefault="0031751E">
            <w:pPr>
              <w:pStyle w:val="TableParagraph"/>
              <w:spacing w:before="56"/>
              <w:ind w:left="57"/>
              <w:rPr>
                <w:sz w:val="18"/>
              </w:rPr>
            </w:pPr>
            <w:r>
              <w:rPr>
                <w:sz w:val="18"/>
              </w:rPr>
              <w:t>Better understand the likely impact of climate change</w:t>
            </w:r>
          </w:p>
        </w:tc>
      </w:tr>
      <w:tr w:rsidR="005A7F14" w14:paraId="41DCA979" w14:textId="77777777">
        <w:trPr>
          <w:trHeight w:val="333"/>
        </w:trPr>
        <w:tc>
          <w:tcPr>
            <w:tcW w:w="8932" w:type="dxa"/>
          </w:tcPr>
          <w:p w14:paraId="6F5242E1" w14:textId="77777777" w:rsidR="005A7F14" w:rsidRDefault="0031751E">
            <w:pPr>
              <w:pStyle w:val="TableParagraph"/>
              <w:spacing w:before="59"/>
              <w:ind w:left="57"/>
              <w:rPr>
                <w:sz w:val="18"/>
              </w:rPr>
            </w:pPr>
            <w:r>
              <w:rPr>
                <w:sz w:val="18"/>
              </w:rPr>
              <w:t>Better manage the impacts of climate change</w:t>
            </w:r>
          </w:p>
        </w:tc>
      </w:tr>
      <w:tr w:rsidR="005A7F14" w14:paraId="463B3231" w14:textId="77777777">
        <w:trPr>
          <w:trHeight w:val="335"/>
        </w:trPr>
        <w:tc>
          <w:tcPr>
            <w:tcW w:w="8932" w:type="dxa"/>
            <w:shd w:val="clear" w:color="auto" w:fill="D9D9D9"/>
          </w:tcPr>
          <w:p w14:paraId="495E6AFC" w14:textId="77777777" w:rsidR="005A7F14" w:rsidRDefault="0031751E">
            <w:pPr>
              <w:pStyle w:val="TableParagraph"/>
              <w:spacing w:before="59"/>
              <w:ind w:left="57"/>
              <w:rPr>
                <w:sz w:val="18"/>
              </w:rPr>
            </w:pPr>
            <w:r>
              <w:rPr>
                <w:sz w:val="18"/>
              </w:rPr>
              <w:t>investigating potential impacts of climate change on terrestrial biodiversity</w:t>
            </w:r>
          </w:p>
        </w:tc>
      </w:tr>
      <w:tr w:rsidR="005A7F14" w14:paraId="19531B2A" w14:textId="77777777">
        <w:trPr>
          <w:trHeight w:val="551"/>
        </w:trPr>
        <w:tc>
          <w:tcPr>
            <w:tcW w:w="8932" w:type="dxa"/>
          </w:tcPr>
          <w:p w14:paraId="68016A2C" w14:textId="77777777" w:rsidR="005A7F14" w:rsidRDefault="0031751E">
            <w:pPr>
              <w:pStyle w:val="TableParagraph"/>
              <w:spacing w:before="56"/>
              <w:ind w:left="57" w:right="363"/>
              <w:rPr>
                <w:sz w:val="18"/>
              </w:rPr>
            </w:pPr>
            <w:r>
              <w:rPr>
                <w:sz w:val="18"/>
              </w:rPr>
              <w:t>improving knowledge about potential impacts of climate change on wetland communities in the IPA and about future management actions that might be required</w:t>
            </w:r>
          </w:p>
        </w:tc>
      </w:tr>
      <w:tr w:rsidR="005A7F14" w14:paraId="25CCED24" w14:textId="77777777">
        <w:trPr>
          <w:trHeight w:val="335"/>
        </w:trPr>
        <w:tc>
          <w:tcPr>
            <w:tcW w:w="8932" w:type="dxa"/>
            <w:shd w:val="clear" w:color="auto" w:fill="D9D9D9"/>
          </w:tcPr>
          <w:p w14:paraId="2445D36E" w14:textId="77777777" w:rsidR="005A7F14" w:rsidRDefault="0031751E">
            <w:pPr>
              <w:pStyle w:val="TableParagraph"/>
              <w:spacing w:before="59"/>
              <w:ind w:left="57"/>
              <w:rPr>
                <w:sz w:val="18"/>
              </w:rPr>
            </w:pPr>
            <w:r>
              <w:rPr>
                <w:sz w:val="18"/>
              </w:rPr>
              <w:t>Feasibility studies exploring the science and viability of carbon abatement programs and methodologies</w:t>
            </w:r>
          </w:p>
        </w:tc>
      </w:tr>
      <w:tr w:rsidR="005A7F14" w14:paraId="0057D93B" w14:textId="77777777">
        <w:trPr>
          <w:trHeight w:val="554"/>
        </w:trPr>
        <w:tc>
          <w:tcPr>
            <w:tcW w:w="8932" w:type="dxa"/>
          </w:tcPr>
          <w:p w14:paraId="41B2512C" w14:textId="77777777" w:rsidR="005A7F14" w:rsidRDefault="0031751E">
            <w:pPr>
              <w:pStyle w:val="TableParagraph"/>
              <w:spacing w:before="56"/>
              <w:ind w:left="57"/>
              <w:rPr>
                <w:sz w:val="18"/>
              </w:rPr>
            </w:pPr>
            <w:r>
              <w:rPr>
                <w:sz w:val="18"/>
              </w:rPr>
              <w:t>Action‐based research and analysis relating to Indigenous knowledge transmission to expected environmental</w:t>
            </w:r>
          </w:p>
          <w:p w14:paraId="70E0EFAE" w14:textId="77777777" w:rsidR="005A7F14" w:rsidRDefault="0031751E">
            <w:pPr>
              <w:pStyle w:val="TableParagraph"/>
              <w:spacing w:before="1"/>
              <w:ind w:left="57"/>
              <w:rPr>
                <w:sz w:val="18"/>
              </w:rPr>
            </w:pPr>
            <w:r>
              <w:rPr>
                <w:sz w:val="18"/>
              </w:rPr>
              <w:t>degradation and other effects due to climatic changes</w:t>
            </w:r>
          </w:p>
        </w:tc>
      </w:tr>
    </w:tbl>
    <w:p w14:paraId="45355904" w14:textId="77777777" w:rsidR="005A7F14" w:rsidRDefault="005A7F14">
      <w:pPr>
        <w:pStyle w:val="BodyText"/>
        <w:ind w:left="0"/>
        <w:rPr>
          <w:sz w:val="20"/>
        </w:rPr>
      </w:pPr>
    </w:p>
    <w:p w14:paraId="2AA4CB38" w14:textId="77777777" w:rsidR="005A7F14" w:rsidRDefault="0031751E">
      <w:pPr>
        <w:pStyle w:val="BodyText"/>
        <w:spacing w:before="153" w:line="259" w:lineRule="auto"/>
        <w:ind w:right="224"/>
      </w:pPr>
      <w:r>
        <w:t>No IPA Management Plans identified research subjects or priorities that could potentially fall within the new NESP2 Sustainable Communities and Waste Research Hub, apart from the issue of marine debris impacting on coastal waters and marine reserves.</w:t>
      </w:r>
    </w:p>
    <w:p w14:paraId="0F14E044" w14:textId="77777777" w:rsidR="005A7F14" w:rsidRDefault="005A7F14">
      <w:pPr>
        <w:pStyle w:val="BodyText"/>
        <w:spacing w:before="8"/>
        <w:ind w:left="0"/>
        <w:rPr>
          <w:sz w:val="19"/>
        </w:rPr>
      </w:pPr>
    </w:p>
    <w:p w14:paraId="2EEC37AB" w14:textId="77777777" w:rsidR="005A7F14" w:rsidRPr="005D0CA2" w:rsidRDefault="0031751E">
      <w:pPr>
        <w:pStyle w:val="Heading1"/>
        <w:numPr>
          <w:ilvl w:val="1"/>
          <w:numId w:val="6"/>
        </w:numPr>
        <w:tabs>
          <w:tab w:val="left" w:pos="860"/>
          <w:tab w:val="left" w:pos="861"/>
        </w:tabs>
        <w:spacing w:before="1"/>
        <w:ind w:hanging="721"/>
        <w:rPr>
          <w:b/>
          <w:bCs/>
        </w:rPr>
      </w:pPr>
      <w:r w:rsidRPr="005D0CA2">
        <w:rPr>
          <w:b/>
          <w:bCs/>
        </w:rPr>
        <w:t xml:space="preserve">Findings </w:t>
      </w:r>
      <w:r w:rsidRPr="005D0CA2">
        <w:rPr>
          <w:b/>
          <w:bCs/>
          <w:spacing w:val="-2"/>
        </w:rPr>
        <w:t>and</w:t>
      </w:r>
      <w:r w:rsidRPr="005D0CA2">
        <w:rPr>
          <w:b/>
          <w:bCs/>
          <w:spacing w:val="-1"/>
        </w:rPr>
        <w:t xml:space="preserve"> </w:t>
      </w:r>
      <w:r w:rsidRPr="005D0CA2">
        <w:rPr>
          <w:b/>
          <w:bCs/>
        </w:rPr>
        <w:t>Conclusions</w:t>
      </w:r>
    </w:p>
    <w:p w14:paraId="37205FFB" w14:textId="77777777" w:rsidR="005A7F14" w:rsidRDefault="0031751E">
      <w:pPr>
        <w:pStyle w:val="BodyText"/>
        <w:spacing w:before="145" w:line="259" w:lineRule="auto"/>
        <w:ind w:right="499"/>
      </w:pPr>
      <w:r>
        <w:t>This Chapter examined the Management Plans for most of the 76 declared IPAs around Australia and the Healthy Country Management Plans for seven other non-IPA locations to ascertain what Indigenous environmental and climate science research themes and questions could be gleaned from them.</w:t>
      </w:r>
    </w:p>
    <w:p w14:paraId="700EF73F" w14:textId="77777777" w:rsidR="005A7F14" w:rsidRDefault="0031751E">
      <w:pPr>
        <w:pStyle w:val="BodyText"/>
        <w:spacing w:before="120" w:line="259" w:lineRule="auto"/>
        <w:ind w:right="416"/>
      </w:pPr>
      <w:r>
        <w:t>The recognition of an IPA by the Australian Government is a response to a declaration process initiated by the Traditional Owners (TOs) and/or custodians and depends on assurances that the ‘right people for</w:t>
      </w:r>
    </w:p>
    <w:p w14:paraId="09302EA4" w14:textId="77777777" w:rsidR="005A7F14" w:rsidRDefault="0031751E">
      <w:pPr>
        <w:pStyle w:val="BodyText"/>
        <w:spacing w:before="1" w:line="259" w:lineRule="auto"/>
        <w:ind w:right="147"/>
      </w:pPr>
      <w:r>
        <w:t>Country’ can speak for that Country and have been consulted and give their free, prior and informed consent for the dedication to be made. However, it is noted that while IPAs are recognised by the Australian Government, there is no legislative framework for IPAs, and as Grace (2018:2) notes, their treatment by</w:t>
      </w:r>
    </w:p>
    <w:p w14:paraId="1879FBB5" w14:textId="77777777" w:rsidR="005A7F14" w:rsidRDefault="005A7F14">
      <w:pPr>
        <w:spacing w:line="259" w:lineRule="auto"/>
        <w:sectPr w:rsidR="005A7F14">
          <w:pgSz w:w="11910" w:h="16840"/>
          <w:pgMar w:top="1400" w:right="1000" w:bottom="940" w:left="1420" w:header="0" w:footer="747" w:gutter="0"/>
          <w:cols w:space="720"/>
        </w:sectPr>
      </w:pPr>
    </w:p>
    <w:p w14:paraId="1ABA1617" w14:textId="77777777" w:rsidR="005A7F14" w:rsidRDefault="0031751E">
      <w:pPr>
        <w:pStyle w:val="BodyText"/>
        <w:spacing w:before="41" w:line="259" w:lineRule="auto"/>
        <w:ind w:right="323"/>
        <w:jc w:val="both"/>
      </w:pPr>
      <w:r>
        <w:lastRenderedPageBreak/>
        <w:t>State and Territory governments varies both within and between jurisdictions depending on the underlying land tenure and/or classification as Crown land or as part of the conservation estate. This means that</w:t>
      </w:r>
    </w:p>
    <w:p w14:paraId="6FEE20D5" w14:textId="77777777" w:rsidR="005A7F14" w:rsidRDefault="0031751E">
      <w:pPr>
        <w:pStyle w:val="BodyText"/>
        <w:spacing w:line="259" w:lineRule="auto"/>
        <w:ind w:right="263"/>
        <w:jc w:val="both"/>
      </w:pPr>
      <w:r>
        <w:t>despite the Commonwealth’s dedication of an area as an IPA, they remain extremely vulnerable to external pressures and changes in land use and access that are well beyond the control of the management body for the IPA.</w:t>
      </w:r>
    </w:p>
    <w:p w14:paraId="1D6E793A" w14:textId="77777777" w:rsidR="005A7F14" w:rsidRDefault="0031751E">
      <w:pPr>
        <w:pStyle w:val="BodyText"/>
        <w:spacing w:before="119" w:line="259" w:lineRule="auto"/>
        <w:ind w:right="153"/>
      </w:pPr>
      <w:r>
        <w:t>Most IPA Management Plans are based on a management approach consistent with the relevant IUCN Protected Area Management Category. The TOs invest considerable time and effort in preparing their IPA management plans because they will be responsible for the management of the IPA once the declaration is made. IPA Management Plans therefore carry considerable authenticity from the Traditional Owners when it comes to identifying how an IPA place is to be managed, what the threats are, what management approaches and techniques will be applied and what the research priorities might be for that area. They are therefore a very rich source of</w:t>
      </w:r>
      <w:r>
        <w:rPr>
          <w:spacing w:val="-5"/>
        </w:rPr>
        <w:t xml:space="preserve"> </w:t>
      </w:r>
      <w:r>
        <w:t>information.</w:t>
      </w:r>
    </w:p>
    <w:p w14:paraId="322D64A3" w14:textId="77777777" w:rsidR="005A7F14" w:rsidRDefault="0031751E">
      <w:pPr>
        <w:pStyle w:val="BodyText"/>
        <w:spacing w:before="119" w:line="259" w:lineRule="auto"/>
        <w:ind w:right="253"/>
      </w:pPr>
      <w:r>
        <w:t>This kind of analysis of the IPA and other Healthy Country management plans has never been done before. As a result, the analysis reveals some interesting insights, not only about environmental and climate science research themes and questions of concern to the TOs and /or managers, but also about the state of the management plans and the management of the areas they are intended to protect for present and future generations for the benefit of all Australians.</w:t>
      </w:r>
    </w:p>
    <w:p w14:paraId="127A8E65" w14:textId="77777777" w:rsidR="005A7F14" w:rsidRDefault="0031751E">
      <w:pPr>
        <w:pStyle w:val="BodyText"/>
        <w:spacing w:before="118" w:line="259" w:lineRule="auto"/>
        <w:ind w:right="370"/>
      </w:pPr>
      <w:r>
        <w:t>SGSEP found that 46 IPA management plans were publicly available. SGESP is also aware of management plans for two other IPAs, but as these are not publicly available, they are not included in this analysis. This means there are 18 IPAs that do not have management plans. The bulk of the 46 management plans were prepared before 2015 and most of them have about a five-yearly review cycle embedded in them. This means that many of them are due for renewal, but without an active program of renewal this is unlikely to happen in the foreseeable future.</w:t>
      </w:r>
    </w:p>
    <w:p w14:paraId="02B56F9E" w14:textId="77777777" w:rsidR="005A7F14" w:rsidRDefault="0031751E">
      <w:pPr>
        <w:pStyle w:val="BodyText"/>
        <w:spacing w:before="120" w:line="259" w:lineRule="auto"/>
        <w:ind w:right="206"/>
      </w:pPr>
      <w:r>
        <w:t xml:space="preserve">A significant challenge for IPAs is the very limited financial resources available to support their management activities </w:t>
      </w:r>
      <w:proofErr w:type="gramStart"/>
      <w:r>
        <w:t>in order to</w:t>
      </w:r>
      <w:proofErr w:type="gramEnd"/>
      <w:r>
        <w:t xml:space="preserve"> achieve their conservation outcomes. IPA’s currently receive core funding from the Australian Government under the IPA Program, but this is insufficient to meet the conservation objectives in their management plans, and there is little or no funding to renew their management plans at regular intervals. The pressure to deliver multipurpose outcomes through existing financial resources or through other funding sources, such as juvenile justice programs, creates a situation whereby existing resources are stretched to the limit and the core conservation purpose of IPAs risks being undermined (Grace, 2018).</w:t>
      </w:r>
    </w:p>
    <w:p w14:paraId="0587B959" w14:textId="77777777" w:rsidR="005A7F14" w:rsidRDefault="0031751E">
      <w:pPr>
        <w:pStyle w:val="BodyText"/>
        <w:spacing w:before="119" w:line="259" w:lineRule="auto"/>
        <w:ind w:right="206"/>
      </w:pPr>
      <w:r>
        <w:t>The analysis of the IPA and other Healthy Country management plans for environmental and climate science research themes or questions can be categorised into two broad matters.</w:t>
      </w:r>
    </w:p>
    <w:p w14:paraId="42DE409C" w14:textId="77777777" w:rsidR="005A7F14" w:rsidRDefault="0031751E">
      <w:pPr>
        <w:pStyle w:val="ListParagraph"/>
        <w:numPr>
          <w:ilvl w:val="0"/>
          <w:numId w:val="1"/>
        </w:numPr>
        <w:tabs>
          <w:tab w:val="left" w:pos="848"/>
          <w:tab w:val="left" w:pos="849"/>
        </w:tabs>
        <w:spacing w:before="119" w:line="259" w:lineRule="auto"/>
        <w:ind w:right="198"/>
        <w:rPr>
          <w:sz w:val="21"/>
        </w:rPr>
      </w:pPr>
      <w:r>
        <w:rPr>
          <w:sz w:val="21"/>
        </w:rPr>
        <w:t>Firstly, many of the management plans express major concerns about access to IK or ICIP and the necessity for formal agreements or protocols for scientific researchers undertaking research on IPAs to protect indigenous knowledges from</w:t>
      </w:r>
      <w:r>
        <w:rPr>
          <w:spacing w:val="-1"/>
          <w:sz w:val="21"/>
        </w:rPr>
        <w:t xml:space="preserve"> </w:t>
      </w:r>
      <w:r>
        <w:rPr>
          <w:sz w:val="21"/>
        </w:rPr>
        <w:t>misuse.</w:t>
      </w:r>
    </w:p>
    <w:p w14:paraId="636170C2" w14:textId="77777777" w:rsidR="005A7F14" w:rsidRDefault="0031751E">
      <w:pPr>
        <w:pStyle w:val="ListParagraph"/>
        <w:numPr>
          <w:ilvl w:val="0"/>
          <w:numId w:val="1"/>
        </w:numPr>
        <w:tabs>
          <w:tab w:val="left" w:pos="848"/>
          <w:tab w:val="left" w:pos="849"/>
        </w:tabs>
        <w:spacing w:line="259" w:lineRule="auto"/>
        <w:ind w:right="236"/>
        <w:rPr>
          <w:sz w:val="21"/>
        </w:rPr>
      </w:pPr>
      <w:r>
        <w:rPr>
          <w:sz w:val="21"/>
        </w:rPr>
        <w:t>Secondly, several of the management plans identify a wide range of threats and other management issues that require further</w:t>
      </w:r>
      <w:r>
        <w:rPr>
          <w:spacing w:val="-4"/>
          <w:sz w:val="21"/>
        </w:rPr>
        <w:t xml:space="preserve"> </w:t>
      </w:r>
      <w:r>
        <w:rPr>
          <w:sz w:val="21"/>
        </w:rPr>
        <w:t>research.</w:t>
      </w:r>
    </w:p>
    <w:p w14:paraId="2C2FBA10" w14:textId="77777777" w:rsidR="005A7F14" w:rsidRDefault="0031751E">
      <w:pPr>
        <w:pStyle w:val="BodyText"/>
        <w:spacing w:before="120" w:line="259" w:lineRule="auto"/>
        <w:ind w:right="143"/>
      </w:pPr>
      <w:r>
        <w:t xml:space="preserve">In relation to the first matter, SGSEP finds that Indigenous peoples are expressing serious concerns about the ways in which their IK and ICIP are being used by researchers. The concerns are twofold. Firstly, getting the relationships right and agreeing on the protocols for engagement are necessary before getting to the topics that need to be researched. Secondly, there is an apparent lack of understanding by researchers and end- users about the two-way nature of relationships between Indigenous and non-Indigenous knowledge systems. That is not to say that these concerns relate directly to research undertaken by the NESP Hubs </w:t>
      </w:r>
      <w:r>
        <w:rPr>
          <w:i/>
        </w:rPr>
        <w:t>per se</w:t>
      </w:r>
      <w:r>
        <w:t>, because many of these management plans were written about five or more years ago. But the small number of Aboriginal and Torres Strait Islander stakeholders that SGSEP was able to consult or meet with via electronic means, also strongly reflected these concerns. The issues associated with better protection of IK and ICIP and the two-way nature of relationships between Indigenous and non-Indigenous knowledge systems in environmental and climate science research are discussed in Chapter 7.</w:t>
      </w:r>
    </w:p>
    <w:p w14:paraId="3E01CDC1" w14:textId="77777777" w:rsidR="005A7F14" w:rsidRDefault="005A7F14">
      <w:pPr>
        <w:spacing w:line="259" w:lineRule="auto"/>
        <w:sectPr w:rsidR="005A7F14">
          <w:pgSz w:w="11910" w:h="16840"/>
          <w:pgMar w:top="1360" w:right="1000" w:bottom="940" w:left="1420" w:header="0" w:footer="747" w:gutter="0"/>
          <w:cols w:space="720"/>
        </w:sectPr>
      </w:pPr>
    </w:p>
    <w:p w14:paraId="663F4C10" w14:textId="77777777" w:rsidR="005A7F14" w:rsidRDefault="0031751E">
      <w:pPr>
        <w:pStyle w:val="BodyText"/>
        <w:spacing w:before="41" w:line="259" w:lineRule="auto"/>
        <w:ind w:right="118"/>
      </w:pPr>
      <w:r>
        <w:lastRenderedPageBreak/>
        <w:t>On the second matter in relation to specific Indigenous research themes and questions, many of them fall within three of the four new Hubs to be established under NESP2: Resilient Landscapes, Marine and Coastal and Climate Systems. While none of the management plans identified research priorities or subjects that could potentially fall within the new NESP2 Sustainable Communities and Waste Research Hub, that may just be a product of the fact that there are no significant IPAs in close proximity to any of our major urban centres or inner regional areas. It certainly does not mean that there are no localities closer to our major cities or inner regional areas that cannot be considered worthy of IPA status.</w:t>
      </w:r>
    </w:p>
    <w:p w14:paraId="2555F1AF" w14:textId="77777777" w:rsidR="005A7F14" w:rsidRDefault="0031751E">
      <w:pPr>
        <w:pStyle w:val="BodyText"/>
        <w:spacing w:before="120" w:line="259" w:lineRule="auto"/>
        <w:ind w:right="180"/>
      </w:pPr>
      <w:r>
        <w:t xml:space="preserve">However, the outcomes of our examination of research themes and questions in the IPA and other management plans has a high level of cross-over with the findings on research priorities for IPAs across northern Australia identified by the NAER Hub in their research project (Hill </w:t>
      </w:r>
      <w:r>
        <w:rPr>
          <w:i/>
        </w:rPr>
        <w:t xml:space="preserve">et al </w:t>
      </w:r>
      <w:r>
        <w:t>2016). We agree with the participants in the NAER Hub research project, that the outcomes about research priorities and the economic values of IPAs apply to broader Indigenous land management activities across northern Australia (and possibly elsewhere in Australia also), and not just to the IPAs (NAER Hub, 2016). SGSEP therefore concludes that there is considerable merit in undertaking a meta-analysis of the IPA’s and their management plans to ascertain a better understanding of their value to the IBRA and IMCRA, the management threats the managers have to grapple with and to elicit their research themes, questions and priorities.</w:t>
      </w:r>
    </w:p>
    <w:p w14:paraId="6D258151" w14:textId="77777777" w:rsidR="005A7F14" w:rsidRDefault="0031751E">
      <w:pPr>
        <w:pStyle w:val="BodyText"/>
        <w:spacing w:before="117" w:line="259" w:lineRule="auto"/>
        <w:ind w:right="217"/>
      </w:pPr>
      <w:r>
        <w:t>SGSEP also concludes that almost 25 years on from the first IPA, it may be time to revisit key aspects of the program with a view to scaling up the management support to review their management plans on a cyclical basis with clear links to Australia’s biodiversity conservation strategy and international obligations to the Convention on Biological Diversity, and commensurate with the significant conservation, cultural, social and health and wellbeing benefits delivered by IPAs. SGSEP also agrees with Grace (2018) that where requested by Indigenous peoples, better policy and legal mechanisms need to be developed that would enable the conservation purposes of the dedications to be protected for their long term future, and that means be found to confirm and strengthen the ability of native title holders to leverage their native title rights and interests to undertake land management activities.</w:t>
      </w:r>
    </w:p>
    <w:sectPr w:rsidR="005A7F14">
      <w:pgSz w:w="11910" w:h="16840"/>
      <w:pgMar w:top="1360" w:right="1000" w:bottom="940" w:left="142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0227F" w14:textId="77777777" w:rsidR="00C535E9" w:rsidRDefault="00C535E9">
      <w:r>
        <w:separator/>
      </w:r>
    </w:p>
  </w:endnote>
  <w:endnote w:type="continuationSeparator" w:id="0">
    <w:p w14:paraId="2D47A8E5" w14:textId="77777777" w:rsidR="00C535E9" w:rsidRDefault="00C5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D94D9" w14:textId="77777777" w:rsidR="005A7F14" w:rsidRDefault="0031751E">
    <w:pPr>
      <w:pStyle w:val="BodyText"/>
      <w:spacing w:line="14" w:lineRule="auto"/>
      <w:ind w:left="0"/>
      <w:rPr>
        <w:sz w:val="20"/>
      </w:rPr>
    </w:pPr>
    <w:r>
      <w:rPr>
        <w:noProof/>
      </w:rPr>
      <w:drawing>
        <wp:anchor distT="0" distB="0" distL="0" distR="0" simplePos="0" relativeHeight="251657216" behindDoc="1" locked="0" layoutInCell="1" allowOverlap="1" wp14:anchorId="01BE1129" wp14:editId="73A4F170">
          <wp:simplePos x="0" y="0"/>
          <wp:positionH relativeFrom="page">
            <wp:posOffset>3645534</wp:posOffset>
          </wp:positionH>
          <wp:positionV relativeFrom="page">
            <wp:posOffset>10319384</wp:posOffset>
          </wp:positionV>
          <wp:extent cx="539750" cy="2241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39750" cy="224154"/>
                  </a:xfrm>
                  <a:prstGeom prst="rect">
                    <a:avLst/>
                  </a:prstGeom>
                </pic:spPr>
              </pic:pic>
            </a:graphicData>
          </a:graphic>
        </wp:anchor>
      </w:drawing>
    </w:r>
    <w:r w:rsidR="00C535E9">
      <w:pict w14:anchorId="19CF4197">
        <v:shapetype id="_x0000_t202" coordsize="21600,21600" o:spt="202" path="m,l,21600r21600,l21600,xe">
          <v:stroke joinstyle="miter"/>
          <v:path gradientshapeok="t" o:connecttype="rect"/>
        </v:shapetype>
        <v:shape id="_x0000_s2049" type="#_x0000_t202" style="position:absolute;margin-left:299.2pt;margin-top:793.6pt;width:18.25pt;height:10.05pt;z-index:-251658240;mso-position-horizontal-relative:page;mso-position-vertical-relative:page" filled="f" stroked="f">
          <v:textbox inset="0,0,0,0">
            <w:txbxContent>
              <w:p w14:paraId="3F13F7A0" w14:textId="77777777" w:rsidR="005A7F14" w:rsidRDefault="0031751E">
                <w:pPr>
                  <w:spacing w:line="184" w:lineRule="exact"/>
                  <w:ind w:left="60"/>
                  <w:rPr>
                    <w:sz w:val="16"/>
                  </w:rPr>
                </w:pPr>
                <w:r>
                  <w:fldChar w:fldCharType="begin"/>
                </w:r>
                <w:r>
                  <w:rPr>
                    <w:color w:val="252525"/>
                    <w:sz w:val="16"/>
                  </w:rPr>
                  <w:instrText xml:space="preserve"> PAGE </w:instrText>
                </w:r>
                <w:r>
                  <w:fldChar w:fldCharType="separate"/>
                </w:r>
                <w:r>
                  <w:t>105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2EBC7" w14:textId="77777777" w:rsidR="00C535E9" w:rsidRDefault="00C535E9">
      <w:r>
        <w:separator/>
      </w:r>
    </w:p>
  </w:footnote>
  <w:footnote w:type="continuationSeparator" w:id="0">
    <w:p w14:paraId="21344ED9" w14:textId="77777777" w:rsidR="00C535E9" w:rsidRDefault="00C5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E4A6F"/>
    <w:multiLevelType w:val="hybridMultilevel"/>
    <w:tmpl w:val="B6206C10"/>
    <w:lvl w:ilvl="0" w:tplc="F9723624">
      <w:numFmt w:val="bullet"/>
      <w:lvlText w:val=""/>
      <w:lvlJc w:val="left"/>
      <w:pPr>
        <w:ind w:left="836" w:hanging="339"/>
      </w:pPr>
      <w:rPr>
        <w:rFonts w:ascii="Wingdings" w:eastAsia="Wingdings" w:hAnsi="Wingdings" w:cs="Wingdings" w:hint="default"/>
        <w:color w:val="92C753"/>
        <w:w w:val="100"/>
        <w:sz w:val="16"/>
        <w:szCs w:val="16"/>
        <w:lang w:val="en-AU" w:eastAsia="en-US" w:bidi="ar-SA"/>
      </w:rPr>
    </w:lvl>
    <w:lvl w:ilvl="1" w:tplc="5F2481D4">
      <w:numFmt w:val="bullet"/>
      <w:lvlText w:val="•"/>
      <w:lvlJc w:val="left"/>
      <w:pPr>
        <w:ind w:left="1704" w:hanging="339"/>
      </w:pPr>
      <w:rPr>
        <w:rFonts w:hint="default"/>
        <w:lang w:val="en-AU" w:eastAsia="en-US" w:bidi="ar-SA"/>
      </w:rPr>
    </w:lvl>
    <w:lvl w:ilvl="2" w:tplc="126AE448">
      <w:numFmt w:val="bullet"/>
      <w:lvlText w:val="•"/>
      <w:lvlJc w:val="left"/>
      <w:pPr>
        <w:ind w:left="2569" w:hanging="339"/>
      </w:pPr>
      <w:rPr>
        <w:rFonts w:hint="default"/>
        <w:lang w:val="en-AU" w:eastAsia="en-US" w:bidi="ar-SA"/>
      </w:rPr>
    </w:lvl>
    <w:lvl w:ilvl="3" w:tplc="47FAAB2A">
      <w:numFmt w:val="bullet"/>
      <w:lvlText w:val="•"/>
      <w:lvlJc w:val="left"/>
      <w:pPr>
        <w:ind w:left="3433" w:hanging="339"/>
      </w:pPr>
      <w:rPr>
        <w:rFonts w:hint="default"/>
        <w:lang w:val="en-AU" w:eastAsia="en-US" w:bidi="ar-SA"/>
      </w:rPr>
    </w:lvl>
    <w:lvl w:ilvl="4" w:tplc="14CC1ACE">
      <w:numFmt w:val="bullet"/>
      <w:lvlText w:val="•"/>
      <w:lvlJc w:val="left"/>
      <w:pPr>
        <w:ind w:left="4298" w:hanging="339"/>
      </w:pPr>
      <w:rPr>
        <w:rFonts w:hint="default"/>
        <w:lang w:val="en-AU" w:eastAsia="en-US" w:bidi="ar-SA"/>
      </w:rPr>
    </w:lvl>
    <w:lvl w:ilvl="5" w:tplc="BABE90C4">
      <w:numFmt w:val="bullet"/>
      <w:lvlText w:val="•"/>
      <w:lvlJc w:val="left"/>
      <w:pPr>
        <w:ind w:left="5163" w:hanging="339"/>
      </w:pPr>
      <w:rPr>
        <w:rFonts w:hint="default"/>
        <w:lang w:val="en-AU" w:eastAsia="en-US" w:bidi="ar-SA"/>
      </w:rPr>
    </w:lvl>
    <w:lvl w:ilvl="6" w:tplc="3B5458E0">
      <w:numFmt w:val="bullet"/>
      <w:lvlText w:val="•"/>
      <w:lvlJc w:val="left"/>
      <w:pPr>
        <w:ind w:left="6027" w:hanging="339"/>
      </w:pPr>
      <w:rPr>
        <w:rFonts w:hint="default"/>
        <w:lang w:val="en-AU" w:eastAsia="en-US" w:bidi="ar-SA"/>
      </w:rPr>
    </w:lvl>
    <w:lvl w:ilvl="7" w:tplc="175476F2">
      <w:numFmt w:val="bullet"/>
      <w:lvlText w:val="•"/>
      <w:lvlJc w:val="left"/>
      <w:pPr>
        <w:ind w:left="6892" w:hanging="339"/>
      </w:pPr>
      <w:rPr>
        <w:rFonts w:hint="default"/>
        <w:lang w:val="en-AU" w:eastAsia="en-US" w:bidi="ar-SA"/>
      </w:rPr>
    </w:lvl>
    <w:lvl w:ilvl="8" w:tplc="9BFA61C4">
      <w:numFmt w:val="bullet"/>
      <w:lvlText w:val="•"/>
      <w:lvlJc w:val="left"/>
      <w:pPr>
        <w:ind w:left="7757" w:hanging="339"/>
      </w:pPr>
      <w:rPr>
        <w:rFonts w:hint="default"/>
        <w:lang w:val="en-AU" w:eastAsia="en-US" w:bidi="ar-SA"/>
      </w:rPr>
    </w:lvl>
  </w:abstractNum>
  <w:abstractNum w:abstractNumId="1" w15:restartNumberingAfterBreak="0">
    <w:nsid w:val="37237B88"/>
    <w:multiLevelType w:val="hybridMultilevel"/>
    <w:tmpl w:val="DB422E0A"/>
    <w:lvl w:ilvl="0" w:tplc="7FCAE72E">
      <w:start w:val="6"/>
      <w:numFmt w:val="decimal"/>
      <w:lvlText w:val="%1."/>
      <w:lvlJc w:val="left"/>
      <w:pPr>
        <w:ind w:left="721" w:hanging="581"/>
        <w:jc w:val="left"/>
      </w:pPr>
      <w:rPr>
        <w:rFonts w:ascii="Calibri" w:eastAsia="Calibri" w:hAnsi="Calibri" w:cs="Calibri" w:hint="default"/>
        <w:color w:val="7E7E7E"/>
        <w:spacing w:val="-1"/>
        <w:w w:val="99"/>
        <w:sz w:val="56"/>
        <w:szCs w:val="56"/>
        <w:lang w:val="en-AU" w:eastAsia="en-US" w:bidi="ar-SA"/>
      </w:rPr>
    </w:lvl>
    <w:lvl w:ilvl="1" w:tplc="6D3028E2">
      <w:start w:val="1"/>
      <w:numFmt w:val="decimal"/>
      <w:lvlText w:val="%1.%2"/>
      <w:lvlJc w:val="left"/>
      <w:pPr>
        <w:ind w:left="860" w:hanging="720"/>
        <w:jc w:val="left"/>
      </w:pPr>
      <w:rPr>
        <w:rFonts w:ascii="Calibri" w:eastAsia="Calibri" w:hAnsi="Calibri" w:cs="Calibri" w:hint="default"/>
        <w:w w:val="100"/>
        <w:sz w:val="24"/>
        <w:szCs w:val="24"/>
        <w:lang w:val="en-AU" w:eastAsia="en-US" w:bidi="ar-SA"/>
      </w:rPr>
    </w:lvl>
    <w:lvl w:ilvl="2" w:tplc="EF7A9A46">
      <w:numFmt w:val="bullet"/>
      <w:lvlText w:val=""/>
      <w:lvlJc w:val="left"/>
      <w:pPr>
        <w:ind w:left="860" w:hanging="360"/>
      </w:pPr>
      <w:rPr>
        <w:rFonts w:ascii="Wingdings" w:eastAsia="Wingdings" w:hAnsi="Wingdings" w:cs="Wingdings" w:hint="default"/>
        <w:color w:val="92C753"/>
        <w:w w:val="100"/>
        <w:sz w:val="16"/>
        <w:szCs w:val="16"/>
        <w:lang w:val="en-AU" w:eastAsia="en-US" w:bidi="ar-SA"/>
      </w:rPr>
    </w:lvl>
    <w:lvl w:ilvl="3" w:tplc="15EAF5D0">
      <w:numFmt w:val="bullet"/>
      <w:lvlText w:val="–"/>
      <w:lvlJc w:val="left"/>
      <w:pPr>
        <w:ind w:left="1417" w:hanging="360"/>
      </w:pPr>
      <w:rPr>
        <w:rFonts w:ascii="Segoe UI Symbol" w:eastAsia="Segoe UI Symbol" w:hAnsi="Segoe UI Symbol" w:cs="Segoe UI Symbol" w:hint="default"/>
        <w:w w:val="100"/>
        <w:sz w:val="22"/>
        <w:szCs w:val="22"/>
        <w:lang w:val="en-AU" w:eastAsia="en-US" w:bidi="ar-SA"/>
      </w:rPr>
    </w:lvl>
    <w:lvl w:ilvl="4" w:tplc="CB24A642">
      <w:numFmt w:val="bullet"/>
      <w:lvlText w:val="•"/>
      <w:lvlJc w:val="left"/>
      <w:pPr>
        <w:ind w:left="3436" w:hanging="360"/>
      </w:pPr>
      <w:rPr>
        <w:rFonts w:hint="default"/>
        <w:lang w:val="en-AU" w:eastAsia="en-US" w:bidi="ar-SA"/>
      </w:rPr>
    </w:lvl>
    <w:lvl w:ilvl="5" w:tplc="D4BA73EA">
      <w:numFmt w:val="bullet"/>
      <w:lvlText w:val="•"/>
      <w:lvlJc w:val="left"/>
      <w:pPr>
        <w:ind w:left="4444" w:hanging="360"/>
      </w:pPr>
      <w:rPr>
        <w:rFonts w:hint="default"/>
        <w:lang w:val="en-AU" w:eastAsia="en-US" w:bidi="ar-SA"/>
      </w:rPr>
    </w:lvl>
    <w:lvl w:ilvl="6" w:tplc="379AA1AE">
      <w:numFmt w:val="bullet"/>
      <w:lvlText w:val="•"/>
      <w:lvlJc w:val="left"/>
      <w:pPr>
        <w:ind w:left="5453" w:hanging="360"/>
      </w:pPr>
      <w:rPr>
        <w:rFonts w:hint="default"/>
        <w:lang w:val="en-AU" w:eastAsia="en-US" w:bidi="ar-SA"/>
      </w:rPr>
    </w:lvl>
    <w:lvl w:ilvl="7" w:tplc="0AD012A8">
      <w:numFmt w:val="bullet"/>
      <w:lvlText w:val="•"/>
      <w:lvlJc w:val="left"/>
      <w:pPr>
        <w:ind w:left="6461" w:hanging="360"/>
      </w:pPr>
      <w:rPr>
        <w:rFonts w:hint="default"/>
        <w:lang w:val="en-AU" w:eastAsia="en-US" w:bidi="ar-SA"/>
      </w:rPr>
    </w:lvl>
    <w:lvl w:ilvl="8" w:tplc="1CFAF3E2">
      <w:numFmt w:val="bullet"/>
      <w:lvlText w:val="•"/>
      <w:lvlJc w:val="left"/>
      <w:pPr>
        <w:ind w:left="7469" w:hanging="360"/>
      </w:pPr>
      <w:rPr>
        <w:rFonts w:hint="default"/>
        <w:lang w:val="en-AU" w:eastAsia="en-US" w:bidi="ar-SA"/>
      </w:rPr>
    </w:lvl>
  </w:abstractNum>
  <w:abstractNum w:abstractNumId="2" w15:restartNumberingAfterBreak="0">
    <w:nsid w:val="3D871A0D"/>
    <w:multiLevelType w:val="hybridMultilevel"/>
    <w:tmpl w:val="448CFF30"/>
    <w:lvl w:ilvl="0" w:tplc="8014FC82">
      <w:start w:val="1"/>
      <w:numFmt w:val="decimal"/>
      <w:lvlText w:val="%1."/>
      <w:lvlJc w:val="left"/>
      <w:pPr>
        <w:ind w:left="860" w:hanging="360"/>
        <w:jc w:val="left"/>
      </w:pPr>
      <w:rPr>
        <w:rFonts w:ascii="Calibri Light" w:eastAsia="Calibri Light" w:hAnsi="Calibri Light" w:cs="Calibri Light" w:hint="default"/>
        <w:color w:val="92C753"/>
        <w:spacing w:val="-1"/>
        <w:w w:val="99"/>
        <w:sz w:val="20"/>
        <w:szCs w:val="20"/>
        <w:lang w:val="en-AU" w:eastAsia="en-US" w:bidi="ar-SA"/>
      </w:rPr>
    </w:lvl>
    <w:lvl w:ilvl="1" w:tplc="BCEA0C44">
      <w:numFmt w:val="bullet"/>
      <w:lvlText w:val="•"/>
      <w:lvlJc w:val="left"/>
      <w:pPr>
        <w:ind w:left="1722" w:hanging="360"/>
      </w:pPr>
      <w:rPr>
        <w:rFonts w:hint="default"/>
        <w:lang w:val="en-AU" w:eastAsia="en-US" w:bidi="ar-SA"/>
      </w:rPr>
    </w:lvl>
    <w:lvl w:ilvl="2" w:tplc="120A6D62">
      <w:numFmt w:val="bullet"/>
      <w:lvlText w:val="•"/>
      <w:lvlJc w:val="left"/>
      <w:pPr>
        <w:ind w:left="2585" w:hanging="360"/>
      </w:pPr>
      <w:rPr>
        <w:rFonts w:hint="default"/>
        <w:lang w:val="en-AU" w:eastAsia="en-US" w:bidi="ar-SA"/>
      </w:rPr>
    </w:lvl>
    <w:lvl w:ilvl="3" w:tplc="B1D47F82">
      <w:numFmt w:val="bullet"/>
      <w:lvlText w:val="•"/>
      <w:lvlJc w:val="left"/>
      <w:pPr>
        <w:ind w:left="3447" w:hanging="360"/>
      </w:pPr>
      <w:rPr>
        <w:rFonts w:hint="default"/>
        <w:lang w:val="en-AU" w:eastAsia="en-US" w:bidi="ar-SA"/>
      </w:rPr>
    </w:lvl>
    <w:lvl w:ilvl="4" w:tplc="3A3C93A8">
      <w:numFmt w:val="bullet"/>
      <w:lvlText w:val="•"/>
      <w:lvlJc w:val="left"/>
      <w:pPr>
        <w:ind w:left="4310" w:hanging="360"/>
      </w:pPr>
      <w:rPr>
        <w:rFonts w:hint="default"/>
        <w:lang w:val="en-AU" w:eastAsia="en-US" w:bidi="ar-SA"/>
      </w:rPr>
    </w:lvl>
    <w:lvl w:ilvl="5" w:tplc="F8988756">
      <w:numFmt w:val="bullet"/>
      <w:lvlText w:val="•"/>
      <w:lvlJc w:val="left"/>
      <w:pPr>
        <w:ind w:left="5173" w:hanging="360"/>
      </w:pPr>
      <w:rPr>
        <w:rFonts w:hint="default"/>
        <w:lang w:val="en-AU" w:eastAsia="en-US" w:bidi="ar-SA"/>
      </w:rPr>
    </w:lvl>
    <w:lvl w:ilvl="6" w:tplc="6B9842B4">
      <w:numFmt w:val="bullet"/>
      <w:lvlText w:val="•"/>
      <w:lvlJc w:val="left"/>
      <w:pPr>
        <w:ind w:left="6035" w:hanging="360"/>
      </w:pPr>
      <w:rPr>
        <w:rFonts w:hint="default"/>
        <w:lang w:val="en-AU" w:eastAsia="en-US" w:bidi="ar-SA"/>
      </w:rPr>
    </w:lvl>
    <w:lvl w:ilvl="7" w:tplc="88081950">
      <w:numFmt w:val="bullet"/>
      <w:lvlText w:val="•"/>
      <w:lvlJc w:val="left"/>
      <w:pPr>
        <w:ind w:left="6898" w:hanging="360"/>
      </w:pPr>
      <w:rPr>
        <w:rFonts w:hint="default"/>
        <w:lang w:val="en-AU" w:eastAsia="en-US" w:bidi="ar-SA"/>
      </w:rPr>
    </w:lvl>
    <w:lvl w:ilvl="8" w:tplc="6BFC2CAE">
      <w:numFmt w:val="bullet"/>
      <w:lvlText w:val="•"/>
      <w:lvlJc w:val="left"/>
      <w:pPr>
        <w:ind w:left="7761" w:hanging="360"/>
      </w:pPr>
      <w:rPr>
        <w:rFonts w:hint="default"/>
        <w:lang w:val="en-AU" w:eastAsia="en-US" w:bidi="ar-SA"/>
      </w:rPr>
    </w:lvl>
  </w:abstractNum>
  <w:abstractNum w:abstractNumId="3" w15:restartNumberingAfterBreak="0">
    <w:nsid w:val="587A1930"/>
    <w:multiLevelType w:val="hybridMultilevel"/>
    <w:tmpl w:val="0CEE4BC6"/>
    <w:lvl w:ilvl="0" w:tplc="80D85372">
      <w:start w:val="1"/>
      <w:numFmt w:val="decimal"/>
      <w:lvlText w:val="%1."/>
      <w:lvlJc w:val="left"/>
      <w:pPr>
        <w:ind w:left="860" w:hanging="360"/>
        <w:jc w:val="left"/>
      </w:pPr>
      <w:rPr>
        <w:rFonts w:ascii="Calibri Light" w:eastAsia="Calibri Light" w:hAnsi="Calibri Light" w:cs="Calibri Light" w:hint="default"/>
        <w:color w:val="92C753"/>
        <w:spacing w:val="-1"/>
        <w:w w:val="99"/>
        <w:sz w:val="20"/>
        <w:szCs w:val="20"/>
        <w:lang w:val="en-AU" w:eastAsia="en-US" w:bidi="ar-SA"/>
      </w:rPr>
    </w:lvl>
    <w:lvl w:ilvl="1" w:tplc="9FEA75FC">
      <w:numFmt w:val="bullet"/>
      <w:lvlText w:val="•"/>
      <w:lvlJc w:val="left"/>
      <w:pPr>
        <w:ind w:left="1722" w:hanging="360"/>
      </w:pPr>
      <w:rPr>
        <w:rFonts w:hint="default"/>
        <w:lang w:val="en-AU" w:eastAsia="en-US" w:bidi="ar-SA"/>
      </w:rPr>
    </w:lvl>
    <w:lvl w:ilvl="2" w:tplc="D4F683DA">
      <w:numFmt w:val="bullet"/>
      <w:lvlText w:val="•"/>
      <w:lvlJc w:val="left"/>
      <w:pPr>
        <w:ind w:left="2585" w:hanging="360"/>
      </w:pPr>
      <w:rPr>
        <w:rFonts w:hint="default"/>
        <w:lang w:val="en-AU" w:eastAsia="en-US" w:bidi="ar-SA"/>
      </w:rPr>
    </w:lvl>
    <w:lvl w:ilvl="3" w:tplc="D1F64C3E">
      <w:numFmt w:val="bullet"/>
      <w:lvlText w:val="•"/>
      <w:lvlJc w:val="left"/>
      <w:pPr>
        <w:ind w:left="3447" w:hanging="360"/>
      </w:pPr>
      <w:rPr>
        <w:rFonts w:hint="default"/>
        <w:lang w:val="en-AU" w:eastAsia="en-US" w:bidi="ar-SA"/>
      </w:rPr>
    </w:lvl>
    <w:lvl w:ilvl="4" w:tplc="6270BE48">
      <w:numFmt w:val="bullet"/>
      <w:lvlText w:val="•"/>
      <w:lvlJc w:val="left"/>
      <w:pPr>
        <w:ind w:left="4310" w:hanging="360"/>
      </w:pPr>
      <w:rPr>
        <w:rFonts w:hint="default"/>
        <w:lang w:val="en-AU" w:eastAsia="en-US" w:bidi="ar-SA"/>
      </w:rPr>
    </w:lvl>
    <w:lvl w:ilvl="5" w:tplc="681695B4">
      <w:numFmt w:val="bullet"/>
      <w:lvlText w:val="•"/>
      <w:lvlJc w:val="left"/>
      <w:pPr>
        <w:ind w:left="5173" w:hanging="360"/>
      </w:pPr>
      <w:rPr>
        <w:rFonts w:hint="default"/>
        <w:lang w:val="en-AU" w:eastAsia="en-US" w:bidi="ar-SA"/>
      </w:rPr>
    </w:lvl>
    <w:lvl w:ilvl="6" w:tplc="89EA8034">
      <w:numFmt w:val="bullet"/>
      <w:lvlText w:val="•"/>
      <w:lvlJc w:val="left"/>
      <w:pPr>
        <w:ind w:left="6035" w:hanging="360"/>
      </w:pPr>
      <w:rPr>
        <w:rFonts w:hint="default"/>
        <w:lang w:val="en-AU" w:eastAsia="en-US" w:bidi="ar-SA"/>
      </w:rPr>
    </w:lvl>
    <w:lvl w:ilvl="7" w:tplc="EF201F22">
      <w:numFmt w:val="bullet"/>
      <w:lvlText w:val="•"/>
      <w:lvlJc w:val="left"/>
      <w:pPr>
        <w:ind w:left="6898" w:hanging="360"/>
      </w:pPr>
      <w:rPr>
        <w:rFonts w:hint="default"/>
        <w:lang w:val="en-AU" w:eastAsia="en-US" w:bidi="ar-SA"/>
      </w:rPr>
    </w:lvl>
    <w:lvl w:ilvl="8" w:tplc="D15A1FFC">
      <w:numFmt w:val="bullet"/>
      <w:lvlText w:val="•"/>
      <w:lvlJc w:val="left"/>
      <w:pPr>
        <w:ind w:left="7761" w:hanging="360"/>
      </w:pPr>
      <w:rPr>
        <w:rFonts w:hint="default"/>
        <w:lang w:val="en-AU" w:eastAsia="en-US" w:bidi="ar-SA"/>
      </w:rPr>
    </w:lvl>
  </w:abstractNum>
  <w:abstractNum w:abstractNumId="4" w15:restartNumberingAfterBreak="0">
    <w:nsid w:val="5D4E4101"/>
    <w:multiLevelType w:val="hybridMultilevel"/>
    <w:tmpl w:val="F0522D64"/>
    <w:lvl w:ilvl="0" w:tplc="CEE6CD0A">
      <w:numFmt w:val="bullet"/>
      <w:lvlText w:val=""/>
      <w:lvlJc w:val="left"/>
      <w:pPr>
        <w:ind w:left="848" w:hanging="360"/>
      </w:pPr>
      <w:rPr>
        <w:rFonts w:ascii="Wingdings" w:eastAsia="Wingdings" w:hAnsi="Wingdings" w:cs="Wingdings" w:hint="default"/>
        <w:color w:val="92C753"/>
        <w:w w:val="100"/>
        <w:sz w:val="16"/>
        <w:szCs w:val="16"/>
        <w:lang w:val="en-AU" w:eastAsia="en-US" w:bidi="ar-SA"/>
      </w:rPr>
    </w:lvl>
    <w:lvl w:ilvl="1" w:tplc="7CB6D1D6">
      <w:numFmt w:val="bullet"/>
      <w:lvlText w:val="•"/>
      <w:lvlJc w:val="left"/>
      <w:pPr>
        <w:ind w:left="1704" w:hanging="360"/>
      </w:pPr>
      <w:rPr>
        <w:rFonts w:hint="default"/>
        <w:lang w:val="en-AU" w:eastAsia="en-US" w:bidi="ar-SA"/>
      </w:rPr>
    </w:lvl>
    <w:lvl w:ilvl="2" w:tplc="98603FD2">
      <w:numFmt w:val="bullet"/>
      <w:lvlText w:val="•"/>
      <w:lvlJc w:val="left"/>
      <w:pPr>
        <w:ind w:left="2569" w:hanging="360"/>
      </w:pPr>
      <w:rPr>
        <w:rFonts w:hint="default"/>
        <w:lang w:val="en-AU" w:eastAsia="en-US" w:bidi="ar-SA"/>
      </w:rPr>
    </w:lvl>
    <w:lvl w:ilvl="3" w:tplc="EC9A53DE">
      <w:numFmt w:val="bullet"/>
      <w:lvlText w:val="•"/>
      <w:lvlJc w:val="left"/>
      <w:pPr>
        <w:ind w:left="3433" w:hanging="360"/>
      </w:pPr>
      <w:rPr>
        <w:rFonts w:hint="default"/>
        <w:lang w:val="en-AU" w:eastAsia="en-US" w:bidi="ar-SA"/>
      </w:rPr>
    </w:lvl>
    <w:lvl w:ilvl="4" w:tplc="E440F5F8">
      <w:numFmt w:val="bullet"/>
      <w:lvlText w:val="•"/>
      <w:lvlJc w:val="left"/>
      <w:pPr>
        <w:ind w:left="4298" w:hanging="360"/>
      </w:pPr>
      <w:rPr>
        <w:rFonts w:hint="default"/>
        <w:lang w:val="en-AU" w:eastAsia="en-US" w:bidi="ar-SA"/>
      </w:rPr>
    </w:lvl>
    <w:lvl w:ilvl="5" w:tplc="D71C0FB4">
      <w:numFmt w:val="bullet"/>
      <w:lvlText w:val="•"/>
      <w:lvlJc w:val="left"/>
      <w:pPr>
        <w:ind w:left="5163" w:hanging="360"/>
      </w:pPr>
      <w:rPr>
        <w:rFonts w:hint="default"/>
        <w:lang w:val="en-AU" w:eastAsia="en-US" w:bidi="ar-SA"/>
      </w:rPr>
    </w:lvl>
    <w:lvl w:ilvl="6" w:tplc="EFB81776">
      <w:numFmt w:val="bullet"/>
      <w:lvlText w:val="•"/>
      <w:lvlJc w:val="left"/>
      <w:pPr>
        <w:ind w:left="6027" w:hanging="360"/>
      </w:pPr>
      <w:rPr>
        <w:rFonts w:hint="default"/>
        <w:lang w:val="en-AU" w:eastAsia="en-US" w:bidi="ar-SA"/>
      </w:rPr>
    </w:lvl>
    <w:lvl w:ilvl="7" w:tplc="5C661A2E">
      <w:numFmt w:val="bullet"/>
      <w:lvlText w:val="•"/>
      <w:lvlJc w:val="left"/>
      <w:pPr>
        <w:ind w:left="6892" w:hanging="360"/>
      </w:pPr>
      <w:rPr>
        <w:rFonts w:hint="default"/>
        <w:lang w:val="en-AU" w:eastAsia="en-US" w:bidi="ar-SA"/>
      </w:rPr>
    </w:lvl>
    <w:lvl w:ilvl="8" w:tplc="98F09AEE">
      <w:numFmt w:val="bullet"/>
      <w:lvlText w:val="•"/>
      <w:lvlJc w:val="left"/>
      <w:pPr>
        <w:ind w:left="7757" w:hanging="360"/>
      </w:pPr>
      <w:rPr>
        <w:rFonts w:hint="default"/>
        <w:lang w:val="en-AU" w:eastAsia="en-US" w:bidi="ar-SA"/>
      </w:rPr>
    </w:lvl>
  </w:abstractNum>
  <w:abstractNum w:abstractNumId="5" w15:restartNumberingAfterBreak="0">
    <w:nsid w:val="7CD961A6"/>
    <w:multiLevelType w:val="hybridMultilevel"/>
    <w:tmpl w:val="C5200E98"/>
    <w:lvl w:ilvl="0" w:tplc="359C15F8">
      <w:numFmt w:val="bullet"/>
      <w:lvlText w:val=""/>
      <w:lvlJc w:val="left"/>
      <w:pPr>
        <w:ind w:left="860" w:hanging="360"/>
      </w:pPr>
      <w:rPr>
        <w:rFonts w:ascii="Wingdings" w:eastAsia="Wingdings" w:hAnsi="Wingdings" w:cs="Wingdings" w:hint="default"/>
        <w:color w:val="92C753"/>
        <w:w w:val="100"/>
        <w:sz w:val="16"/>
        <w:szCs w:val="16"/>
        <w:lang w:val="en-AU" w:eastAsia="en-US" w:bidi="ar-SA"/>
      </w:rPr>
    </w:lvl>
    <w:lvl w:ilvl="1" w:tplc="2CF2913E">
      <w:numFmt w:val="bullet"/>
      <w:lvlText w:val="•"/>
      <w:lvlJc w:val="left"/>
      <w:pPr>
        <w:ind w:left="1722" w:hanging="360"/>
      </w:pPr>
      <w:rPr>
        <w:rFonts w:hint="default"/>
        <w:lang w:val="en-AU" w:eastAsia="en-US" w:bidi="ar-SA"/>
      </w:rPr>
    </w:lvl>
    <w:lvl w:ilvl="2" w:tplc="74B4A3AC">
      <w:numFmt w:val="bullet"/>
      <w:lvlText w:val="•"/>
      <w:lvlJc w:val="left"/>
      <w:pPr>
        <w:ind w:left="2585" w:hanging="360"/>
      </w:pPr>
      <w:rPr>
        <w:rFonts w:hint="default"/>
        <w:lang w:val="en-AU" w:eastAsia="en-US" w:bidi="ar-SA"/>
      </w:rPr>
    </w:lvl>
    <w:lvl w:ilvl="3" w:tplc="7CC050E2">
      <w:numFmt w:val="bullet"/>
      <w:lvlText w:val="•"/>
      <w:lvlJc w:val="left"/>
      <w:pPr>
        <w:ind w:left="3447" w:hanging="360"/>
      </w:pPr>
      <w:rPr>
        <w:rFonts w:hint="default"/>
        <w:lang w:val="en-AU" w:eastAsia="en-US" w:bidi="ar-SA"/>
      </w:rPr>
    </w:lvl>
    <w:lvl w:ilvl="4" w:tplc="72BE5BA0">
      <w:numFmt w:val="bullet"/>
      <w:lvlText w:val="•"/>
      <w:lvlJc w:val="left"/>
      <w:pPr>
        <w:ind w:left="4310" w:hanging="360"/>
      </w:pPr>
      <w:rPr>
        <w:rFonts w:hint="default"/>
        <w:lang w:val="en-AU" w:eastAsia="en-US" w:bidi="ar-SA"/>
      </w:rPr>
    </w:lvl>
    <w:lvl w:ilvl="5" w:tplc="60AC07CE">
      <w:numFmt w:val="bullet"/>
      <w:lvlText w:val="•"/>
      <w:lvlJc w:val="left"/>
      <w:pPr>
        <w:ind w:left="5173" w:hanging="360"/>
      </w:pPr>
      <w:rPr>
        <w:rFonts w:hint="default"/>
        <w:lang w:val="en-AU" w:eastAsia="en-US" w:bidi="ar-SA"/>
      </w:rPr>
    </w:lvl>
    <w:lvl w:ilvl="6" w:tplc="ABCC4840">
      <w:numFmt w:val="bullet"/>
      <w:lvlText w:val="•"/>
      <w:lvlJc w:val="left"/>
      <w:pPr>
        <w:ind w:left="6035" w:hanging="360"/>
      </w:pPr>
      <w:rPr>
        <w:rFonts w:hint="default"/>
        <w:lang w:val="en-AU" w:eastAsia="en-US" w:bidi="ar-SA"/>
      </w:rPr>
    </w:lvl>
    <w:lvl w:ilvl="7" w:tplc="24D69BA6">
      <w:numFmt w:val="bullet"/>
      <w:lvlText w:val="•"/>
      <w:lvlJc w:val="left"/>
      <w:pPr>
        <w:ind w:left="6898" w:hanging="360"/>
      </w:pPr>
      <w:rPr>
        <w:rFonts w:hint="default"/>
        <w:lang w:val="en-AU" w:eastAsia="en-US" w:bidi="ar-SA"/>
      </w:rPr>
    </w:lvl>
    <w:lvl w:ilvl="8" w:tplc="DE74A2D0">
      <w:numFmt w:val="bullet"/>
      <w:lvlText w:val="•"/>
      <w:lvlJc w:val="left"/>
      <w:pPr>
        <w:ind w:left="7761" w:hanging="360"/>
      </w:pPr>
      <w:rPr>
        <w:rFonts w:hint="default"/>
        <w:lang w:val="en-AU" w:eastAsia="en-US" w:bidi="ar-SA"/>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A7F14"/>
    <w:rsid w:val="0031751E"/>
    <w:rsid w:val="005A7F14"/>
    <w:rsid w:val="005D0CA2"/>
    <w:rsid w:val="005F312B"/>
    <w:rsid w:val="00C535E9"/>
    <w:rsid w:val="00E56D12"/>
    <w:rsid w:val="00F9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9F1309"/>
  <w15:docId w15:val="{AA882C47-92C4-4DD1-A0D4-47EFCEA0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AU"/>
    </w:rPr>
  </w:style>
  <w:style w:type="paragraph" w:styleId="Heading1">
    <w:name w:val="heading 1"/>
    <w:basedOn w:val="Normal"/>
    <w:uiPriority w:val="9"/>
    <w:qFormat/>
    <w:pPr>
      <w:ind w:left="860" w:hanging="721"/>
      <w:outlineLvl w:val="0"/>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1"/>
      <w:szCs w:val="21"/>
    </w:rPr>
  </w:style>
  <w:style w:type="paragraph" w:styleId="Title">
    <w:name w:val="Title"/>
    <w:basedOn w:val="Normal"/>
    <w:uiPriority w:val="10"/>
    <w:qFormat/>
    <w:pPr>
      <w:ind w:left="140" w:hanging="582"/>
    </w:pPr>
    <w:rPr>
      <w:rFonts w:ascii="Calibri" w:eastAsia="Calibri" w:hAnsi="Calibri" w:cs="Calibri"/>
      <w:sz w:val="56"/>
      <w:szCs w:val="56"/>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ommunitygrants.gov.au/grants/national-environmental-science-program-nesp-2"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7900</Words>
  <Characters>45036</Characters>
  <Application>Microsoft Office Word</Application>
  <DocSecurity>0</DocSecurity>
  <Lines>375</Lines>
  <Paragraphs>105</Paragraphs>
  <ScaleCrop>false</ScaleCrop>
  <Company/>
  <LinksUpToDate>false</LinksUpToDate>
  <CharactersWithSpaces>52831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 Wensing</cp:lastModifiedBy>
  <cp:revision>5</cp:revision>
  <cp:lastPrinted>2021-01-21T04:46:00Z</cp:lastPrinted>
  <dcterms:created xsi:type="dcterms:W3CDTF">2021-01-15T05:35:00Z</dcterms:created>
  <dcterms:modified xsi:type="dcterms:W3CDTF">2021-01-21T12:37:00Z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for Microsoft 365</vt:lpwstr>
  </property>
  <property fmtid="{D5CDD505-2E9C-101B-9397-08002B2CF9AE}" pid="4" name="LastSaved">
    <vt:filetime>2021-01-15T00:00:00Z</vt:filetime>
  </property>
</Properties>
</file>